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B54E49A">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B54E49A">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B54E49A">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0794D4B" w:rsidR="00093CA9" w:rsidRDefault="0020333B" w:rsidP="00093CA9">
            <w:r>
              <w:t>Blomstein</w:t>
            </w:r>
          </w:p>
        </w:tc>
      </w:tr>
      <w:tr w:rsidR="00093CA9" w14:paraId="68D6C829" w14:textId="77777777" w:rsidTr="2B54E49A">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B54E49A">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B54E49A">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B54E49A">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6119CFD" w:rsidR="00093CA9" w:rsidRDefault="00210CE0" w:rsidP="00093CA9">
            <w:r w:rsidRPr="00210CE0">
              <w:t>Regulation (EU) 2023/956 of the European Parliament and of the Council of 10 May 2023 establishing a carbon border adjustment mechanism (“CBAM Regulation”)</w:t>
            </w:r>
          </w:p>
        </w:tc>
      </w:tr>
      <w:tr w:rsidR="00093CA9" w14:paraId="67500B24" w14:textId="77777777" w:rsidTr="2B54E49A">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B54E49A">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0E5B57C" w:rsidR="00093CA9" w:rsidRDefault="000876C3" w:rsidP="00093CA9">
            <w:hyperlink r:id="rId17">
              <w:r w:rsidRPr="2B54E49A">
                <w:rPr>
                  <w:rStyle w:val="Hyperlink"/>
                </w:rPr>
                <w:t>https://web.archive.org/web/20250728164000/https://eur-lex.europa.eu/eli/reg/2023/956/oj/eng</w:t>
              </w:r>
            </w:hyperlink>
            <w:r w:rsidR="1004796B">
              <w:t xml:space="preserve"> </w:t>
            </w:r>
          </w:p>
        </w:tc>
      </w:tr>
      <w:tr w:rsidR="00093CA9" w:rsidRPr="005A2023" w14:paraId="1EA0B43C" w14:textId="77777777" w:rsidTr="2B54E49A">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B54E49A">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2B54E49A">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B077ED9" w:rsidR="00093CA9" w:rsidRDefault="00093CA9" w:rsidP="00093CA9"/>
        </w:tc>
      </w:tr>
      <w:tr w:rsidR="00093CA9" w14:paraId="2CE0B955" w14:textId="77777777" w:rsidTr="2B54E49A">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0F70BC81" w:rsidR="00093CA9" w:rsidRDefault="00093CA9" w:rsidP="00093CA9"/>
        </w:tc>
      </w:tr>
      <w:tr w:rsidR="00093CA9" w14:paraId="60051751" w14:textId="77777777" w:rsidTr="2B54E49A">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912A317" w:rsidR="00093CA9" w:rsidRDefault="00210CE0" w:rsidP="00093CA9">
            <w:r>
              <w:t>X</w:t>
            </w:r>
          </w:p>
        </w:tc>
      </w:tr>
      <w:tr w:rsidR="00093CA9" w14:paraId="6426E869" w14:textId="77777777" w:rsidTr="2B54E49A">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0480D8D3" w:rsidR="00093CA9" w:rsidRDefault="00093CA9" w:rsidP="00093CA9"/>
        </w:tc>
      </w:tr>
      <w:tr w:rsidR="00093CA9" w14:paraId="4C779C87" w14:textId="77777777" w:rsidTr="2B54E49A">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B54E49A">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B54E49A">
        <w:trPr>
          <w:trHeight w:val="533"/>
        </w:trPr>
        <w:tc>
          <w:tcPr>
            <w:tcW w:w="1063" w:type="dxa"/>
            <w:vAlign w:val="center"/>
          </w:tcPr>
          <w:p w14:paraId="3C6209F9" w14:textId="77777777" w:rsidR="00093CA9" w:rsidRDefault="00093CA9" w:rsidP="00093CA9"/>
        </w:tc>
        <w:tc>
          <w:tcPr>
            <w:tcW w:w="9169" w:type="dxa"/>
            <w:gridSpan w:val="4"/>
            <w:vAlign w:val="center"/>
          </w:tcPr>
          <w:p w14:paraId="5B6C82E0" w14:textId="47848C50" w:rsidR="001C15B8" w:rsidRPr="001C15B8" w:rsidRDefault="001C15B8" w:rsidP="001C15B8">
            <w:r w:rsidRPr="001C15B8">
              <w:t xml:space="preserve">The Carbon Border Adjustment Mechanism (CBAM), established by Regulation (EU) 2023/956, is a central element of the European Union’s climate strategy under the “Fit for 55” package. It is designed to ensure that the greenhouse gas emissions embedded in certain imported goods are subject to a carbon price equivalent to that paid by EU-based producers under the EU Emissions Trading System (EU ETS). By doing so, CBAM seeks to prevent </w:t>
            </w:r>
            <w:r w:rsidRPr="001C15B8">
              <w:rPr>
                <w:i/>
                <w:iCs/>
              </w:rPr>
              <w:t>carbon leakage</w:t>
            </w:r>
            <w:r w:rsidR="00CE3A32">
              <w:rPr>
                <w:i/>
                <w:iCs/>
              </w:rPr>
              <w:t xml:space="preserve"> - </w:t>
            </w:r>
            <w:r w:rsidRPr="001C15B8">
              <w:t>a phenomenon whereby EU industries subject to ambitious climate obligations could relocate production to jurisdictions with laxer climate policies or be undercut by more carbon-intensive imports.</w:t>
            </w:r>
          </w:p>
          <w:p w14:paraId="6CE5B8FE" w14:textId="77777777" w:rsidR="001C15B8" w:rsidRPr="001C15B8" w:rsidRDefault="001C15B8" w:rsidP="001C15B8">
            <w:r w:rsidRPr="001C15B8">
              <w:t>CBAM’s stated purpose, as set out in Article 1(1), is to prevent the risk of carbon leakage and reduce global carbon emissions. It does so by creating incentives for foreign producers to adopt cleaner technologies and by preserving the integrity of the EU’s climate objectives, especially those enshrined in the European Climate Law (Regulation (EU) 2021/1119), which mandates a 55% net emissions reduction by 2030 and climate neutrality by 2050.</w:t>
            </w:r>
          </w:p>
          <w:p w14:paraId="43F6DE83" w14:textId="59E48688" w:rsidR="001C15B8" w:rsidRPr="001C15B8" w:rsidRDefault="001C15B8" w:rsidP="001C15B8">
            <w:r>
              <w:t>The mechanism currently applies to a selected number of goods</w:t>
            </w:r>
            <w:r w:rsidR="00CE3A32">
              <w:t xml:space="preserve"> - </w:t>
            </w:r>
            <w:r>
              <w:t>namely iron and steel, aluminium, cement, fertilizers, electricity, and hydrogen</w:t>
            </w:r>
            <w:r w:rsidR="00CE3A32">
              <w:t xml:space="preserve"> - </w:t>
            </w:r>
            <w:r>
              <w:t xml:space="preserve">that are considered particularly carbon-intensive and exposed to a high risk of carbon leakage. These sectors are reflected in Annex I to the Regulation and were selected </w:t>
            </w:r>
            <w:r w:rsidR="36DEE2B0">
              <w:t>based on</w:t>
            </w:r>
            <w:r>
              <w:t xml:space="preserve"> criteria including emissions intensity and trade exposure.</w:t>
            </w:r>
          </w:p>
          <w:p w14:paraId="70C31357" w14:textId="77777777" w:rsidR="001C15B8" w:rsidRPr="001C15B8" w:rsidRDefault="001C15B8" w:rsidP="001C15B8">
            <w:r w:rsidRPr="001C15B8">
              <w:t>From a compliance perspective, CBAM introduces a declarative system whereby authorised importers must annually report the total quantity and embedded emissions of imported goods and surrender an equivalent number of CBAM certificates. These certificates mirror the weekly average auction price of EU ETS allowances, ensuring an equivalent carbon price is paid on imports and domestically produced goods alike. Importantly, importers can claim a reduction in the number of certificates to be surrendered if a carbon price has already been effectively paid in the country of origin, pursuant to Article 9.</w:t>
            </w:r>
          </w:p>
          <w:p w14:paraId="06C9E2F3" w14:textId="77777777" w:rsidR="001C15B8" w:rsidRPr="001C15B8" w:rsidRDefault="001C15B8" w:rsidP="001C15B8">
            <w:r w:rsidRPr="001C15B8">
              <w:t>The Regulation also includes a transitional period from 1 October 2023 to 31 December 2025, during which only reporting obligations apply and no financial payments are due. This phase serves as a pilot to prepare for the full implementation of the mechanism. During this period, importers are required to submit quarterly reports on direct and indirect emissions as well as carbon prices paid abroad.</w:t>
            </w:r>
          </w:p>
          <w:p w14:paraId="18257824" w14:textId="39C3F76E" w:rsidR="00093CA9" w:rsidRDefault="001C15B8" w:rsidP="00093CA9">
            <w:r>
              <w:t>Though formally titled “Carbon Border Adjustment Mechanism,” the policy tool is often colloquially referred to as the “EU carbon tariff” or “carbon border tax,” especially in political and media discussions. In legal and policy practice, however, it is more accurate to describe it as a complementary carbon pricing mechanism designed to replicate the effect of the EU ETS for imported goods.</w:t>
            </w:r>
          </w:p>
        </w:tc>
      </w:tr>
      <w:tr w:rsidR="00093CA9" w14:paraId="2451E529" w14:textId="77777777" w:rsidTr="2B54E49A">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B54E49A">
        <w:trPr>
          <w:trHeight w:val="300"/>
        </w:trPr>
        <w:tc>
          <w:tcPr>
            <w:tcW w:w="1063" w:type="dxa"/>
            <w:vAlign w:val="center"/>
          </w:tcPr>
          <w:p w14:paraId="74D10F36" w14:textId="77777777" w:rsidR="00093CA9" w:rsidRDefault="00093CA9" w:rsidP="00093CA9">
            <w:r>
              <w:lastRenderedPageBreak/>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90C87FB" w:rsidR="00093CA9" w:rsidRDefault="000876C3" w:rsidP="00093CA9">
            <w:r>
              <w:t>X</w:t>
            </w:r>
          </w:p>
        </w:tc>
      </w:tr>
      <w:tr w:rsidR="00093CA9" w14:paraId="3640F334" w14:textId="77777777" w:rsidTr="2B54E49A">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B54E49A">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B54E49A">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B54E49A">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B54E49A">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B54E49A">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B54E49A">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B54E49A">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B54E49A">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2C2AC05" w:rsidR="00093CA9" w:rsidRPr="00173D7C" w:rsidRDefault="006E7F97" w:rsidP="00093CA9">
            <w:pPr>
              <w:rPr>
                <w:color w:val="000000" w:themeColor="text1"/>
              </w:rPr>
            </w:pPr>
            <w:r w:rsidRPr="006E7F97">
              <w:rPr>
                <w:color w:val="000000" w:themeColor="text1"/>
              </w:rPr>
              <w:t>2023</w:t>
            </w:r>
          </w:p>
        </w:tc>
      </w:tr>
      <w:tr w:rsidR="00093CA9" w14:paraId="738B7301" w14:textId="77777777" w:rsidTr="2B54E49A">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B54E49A">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AEF4E1A" w:rsidR="00093CA9" w:rsidRPr="00173D7C" w:rsidRDefault="22125A6A" w:rsidP="00093CA9">
            <w:pPr>
              <w:rPr>
                <w:color w:val="000000" w:themeColor="text1"/>
              </w:rPr>
            </w:pPr>
            <w:r w:rsidRPr="2B54E49A">
              <w:rPr>
                <w:color w:val="000000" w:themeColor="text1"/>
              </w:rPr>
              <w:t>2023-2025, 2026</w:t>
            </w:r>
          </w:p>
        </w:tc>
      </w:tr>
      <w:tr w:rsidR="00093CA9" w14:paraId="2C2614F8" w14:textId="77777777" w:rsidTr="2B54E49A">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B54E49A">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6B28E8A8" w14:textId="77777777" w:rsidR="007D73D0" w:rsidRPr="008C3557" w:rsidRDefault="007D73D0" w:rsidP="007D73D0">
            <w:pPr>
              <w:rPr>
                <w:color w:val="000000" w:themeColor="text1"/>
              </w:rPr>
            </w:pPr>
            <w:r w:rsidRPr="008C3557">
              <w:rPr>
                <w:color w:val="000000" w:themeColor="text1"/>
              </w:rPr>
              <w:t>Transitional phase (2023–2025):</w:t>
            </w:r>
          </w:p>
          <w:p w14:paraId="1B727144" w14:textId="77777777" w:rsidR="007D73D0" w:rsidRPr="008C3557" w:rsidRDefault="007D73D0" w:rsidP="007D73D0">
            <w:pPr>
              <w:numPr>
                <w:ilvl w:val="0"/>
                <w:numId w:val="51"/>
              </w:numPr>
              <w:rPr>
                <w:color w:val="000000" w:themeColor="text1"/>
              </w:rPr>
            </w:pPr>
            <w:r w:rsidRPr="008C3557">
              <w:rPr>
                <w:color w:val="000000" w:themeColor="text1"/>
              </w:rPr>
              <w:t>Entry into application: 1 October 2023</w:t>
            </w:r>
          </w:p>
          <w:p w14:paraId="106FF77A" w14:textId="77777777" w:rsidR="007D73D0" w:rsidRPr="008C3557" w:rsidRDefault="007D73D0" w:rsidP="007D73D0">
            <w:pPr>
              <w:numPr>
                <w:ilvl w:val="0"/>
                <w:numId w:val="51"/>
              </w:numPr>
              <w:rPr>
                <w:color w:val="000000" w:themeColor="text1"/>
              </w:rPr>
            </w:pPr>
            <w:r w:rsidRPr="008C3557">
              <w:rPr>
                <w:color w:val="000000" w:themeColor="text1"/>
              </w:rPr>
              <w:t>Obligations: reporting only</w:t>
            </w:r>
          </w:p>
          <w:p w14:paraId="3275B885" w14:textId="77777777" w:rsidR="007D73D0" w:rsidRPr="008C3557" w:rsidRDefault="007D73D0" w:rsidP="007D73D0">
            <w:pPr>
              <w:numPr>
                <w:ilvl w:val="0"/>
                <w:numId w:val="51"/>
              </w:numPr>
              <w:rPr>
                <w:color w:val="000000" w:themeColor="text1"/>
              </w:rPr>
            </w:pPr>
            <w:r w:rsidRPr="008C3557">
              <w:rPr>
                <w:color w:val="000000" w:themeColor="text1"/>
              </w:rPr>
              <w:t>No financial adjustment (no surrender of CBAM certificates)</w:t>
            </w:r>
          </w:p>
          <w:p w14:paraId="69349ECE" w14:textId="4D9A85D3" w:rsidR="007D73D0" w:rsidRPr="008C3557" w:rsidRDefault="007D73D0" w:rsidP="007D73D0">
            <w:pPr>
              <w:numPr>
                <w:ilvl w:val="0"/>
                <w:numId w:val="51"/>
              </w:numPr>
              <w:rPr>
                <w:color w:val="000000" w:themeColor="text1"/>
              </w:rPr>
            </w:pPr>
            <w:r w:rsidRPr="008C3557">
              <w:rPr>
                <w:color w:val="000000" w:themeColor="text1"/>
              </w:rPr>
              <w:t>Objective: data collection, stakeholder preparation, and methodological refinement (Recital 57</w:t>
            </w:r>
            <w:r w:rsidR="48A76943" w:rsidRPr="008C3557">
              <w:rPr>
                <w:color w:val="000000" w:themeColor="text1"/>
              </w:rPr>
              <w:t xml:space="preserve"> and</w:t>
            </w:r>
            <w:r w:rsidRPr="008C3557">
              <w:rPr>
                <w:color w:val="000000" w:themeColor="text1"/>
              </w:rPr>
              <w:t xml:space="preserve"> Article 35)</w:t>
            </w:r>
          </w:p>
          <w:p w14:paraId="22BD3288" w14:textId="77777777" w:rsidR="007D73D0" w:rsidRPr="008C3557" w:rsidRDefault="007D73D0" w:rsidP="007D73D0">
            <w:pPr>
              <w:rPr>
                <w:color w:val="000000" w:themeColor="text1"/>
              </w:rPr>
            </w:pPr>
            <w:r w:rsidRPr="008C3557">
              <w:rPr>
                <w:color w:val="000000" w:themeColor="text1"/>
              </w:rPr>
              <w:t>Definitive phase (from 2026):</w:t>
            </w:r>
          </w:p>
          <w:p w14:paraId="4F48623F" w14:textId="77777777" w:rsidR="007D73D0" w:rsidRPr="007D73D0" w:rsidRDefault="007D73D0" w:rsidP="007D73D0">
            <w:pPr>
              <w:numPr>
                <w:ilvl w:val="0"/>
                <w:numId w:val="50"/>
              </w:numPr>
              <w:rPr>
                <w:color w:val="000000" w:themeColor="text1"/>
              </w:rPr>
            </w:pPr>
            <w:r w:rsidRPr="007D73D0">
              <w:rPr>
                <w:color w:val="000000" w:themeColor="text1"/>
              </w:rPr>
              <w:t>Full implementation of the CBAM</w:t>
            </w:r>
          </w:p>
          <w:p w14:paraId="26EDF8BC" w14:textId="6B75F41F" w:rsidR="007D73D0" w:rsidRPr="007D73D0" w:rsidRDefault="007D73D0" w:rsidP="007D73D0">
            <w:pPr>
              <w:numPr>
                <w:ilvl w:val="0"/>
                <w:numId w:val="50"/>
              </w:numPr>
              <w:rPr>
                <w:color w:val="000000" w:themeColor="text1"/>
              </w:rPr>
            </w:pPr>
            <w:r w:rsidRPr="2B54E49A">
              <w:rPr>
                <w:color w:val="000000" w:themeColor="text1"/>
              </w:rPr>
              <w:t>Importers must surrender certificates annually (Articles 6 and 22)</w:t>
            </w:r>
          </w:p>
          <w:p w14:paraId="1A1B9D26" w14:textId="7BD5089B" w:rsidR="00093CA9" w:rsidRPr="00587FAE" w:rsidRDefault="007D73D0" w:rsidP="2B54E49A">
            <w:pPr>
              <w:numPr>
                <w:ilvl w:val="0"/>
                <w:numId w:val="50"/>
              </w:numPr>
              <w:rPr>
                <w:color w:val="000000" w:themeColor="text1"/>
              </w:rPr>
            </w:pPr>
            <w:r w:rsidRPr="2B54E49A">
              <w:rPr>
                <w:color w:val="000000" w:themeColor="text1"/>
              </w:rPr>
              <w:t>CBAM begins to gradually replace free allowances under the EU ETS (Article 1(3))</w:t>
            </w:r>
          </w:p>
        </w:tc>
      </w:tr>
      <w:tr w:rsidR="00093CA9" w14:paraId="0CA17197" w14:textId="77777777" w:rsidTr="2B54E49A">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B54E49A">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B54E49A">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B54E49A">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E2FAA2D" w:rsidR="00093CA9" w:rsidRDefault="001603F8" w:rsidP="00093CA9">
            <w:r>
              <w:t>T</w:t>
            </w:r>
            <w:r w:rsidRPr="001603F8">
              <w:t>he European Parliament and the Council of the European Union</w:t>
            </w:r>
            <w:r>
              <w:t>.</w:t>
            </w:r>
          </w:p>
        </w:tc>
      </w:tr>
      <w:tr w:rsidR="00093CA9" w:rsidRPr="006B7B0D" w14:paraId="5375EB04" w14:textId="77777777" w:rsidTr="2B54E49A">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B54E49A">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CB2782B" w:rsidR="00093CA9" w:rsidRPr="006B7B0D" w:rsidRDefault="00EB1123" w:rsidP="00093CA9">
            <w:r w:rsidRPr="00EB1123">
              <w:t>European Commission</w:t>
            </w:r>
          </w:p>
        </w:tc>
      </w:tr>
      <w:tr w:rsidR="00093CA9" w:rsidRPr="006B7B0D" w14:paraId="2F387FFB" w14:textId="77777777" w:rsidTr="2B54E49A">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B54E49A">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B54E49A">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B54E49A">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B54E49A">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54E62F1" w:rsidR="00093CA9" w:rsidRPr="006B7B0D" w:rsidRDefault="00EB1123" w:rsidP="00093CA9">
            <w:r>
              <w:t>X</w:t>
            </w:r>
          </w:p>
        </w:tc>
      </w:tr>
      <w:tr w:rsidR="00093CA9" w:rsidRPr="006B7B0D" w14:paraId="06CA77C4" w14:textId="77777777" w:rsidTr="2B54E49A">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B54E49A">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B54E49A">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B54E49A">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B54E49A">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B54E49A">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B54E49A">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B54E49A">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B54E49A">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B54E49A">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B54E49A">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B54E49A">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B54E49A">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B54E49A">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B54E49A">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B54E49A">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B54E49A">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B54E49A">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B54E49A">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B54E49A">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B54E49A">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B54E49A">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B54E49A">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B54E49A">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B54E49A">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B54E49A">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B54E49A">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B54E49A">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B54E49A">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B54E49A">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B54E49A">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B54E49A">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B54E49A">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04E4B25" w:rsidR="00093CA9" w:rsidRDefault="003E5EB6" w:rsidP="00093CA9">
            <w:r>
              <w:t>X</w:t>
            </w:r>
          </w:p>
        </w:tc>
      </w:tr>
      <w:tr w:rsidR="00093CA9" w14:paraId="0763562F" w14:textId="77777777" w:rsidTr="2B54E49A">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B54E49A">
        <w:trPr>
          <w:trHeight w:val="1020"/>
        </w:trPr>
        <w:tc>
          <w:tcPr>
            <w:tcW w:w="1063" w:type="dxa"/>
            <w:vAlign w:val="center"/>
          </w:tcPr>
          <w:p w14:paraId="08EDF6C9" w14:textId="77777777" w:rsidR="00093CA9" w:rsidRDefault="00093CA9" w:rsidP="00093CA9"/>
        </w:tc>
        <w:tc>
          <w:tcPr>
            <w:tcW w:w="9169" w:type="dxa"/>
            <w:gridSpan w:val="4"/>
            <w:vAlign w:val="center"/>
          </w:tcPr>
          <w:p w14:paraId="686E23D2" w14:textId="77777777" w:rsidR="00137AAC" w:rsidRPr="00137AAC" w:rsidRDefault="00137AAC" w:rsidP="00137AAC">
            <w:pPr>
              <w:keepNext/>
              <w:rPr>
                <w:color w:val="000000" w:themeColor="text1"/>
              </w:rPr>
            </w:pPr>
            <w:r w:rsidRPr="00137AAC">
              <w:rPr>
                <w:color w:val="000000" w:themeColor="text1"/>
              </w:rPr>
              <w:t>During the transitional phase (from 1 October 2023 to 31 December 2025), importers are required to submit quarterly reports detailing the quantity of goods imported, the emissions embedded in those goods, and any carbon price paid in the country of origin (Article 35(2)).</w:t>
            </w:r>
          </w:p>
          <w:p w14:paraId="64612DEA" w14:textId="6DEC114B" w:rsidR="00137AAC" w:rsidRPr="00137AAC" w:rsidRDefault="00137AAC" w:rsidP="00137AAC">
            <w:pPr>
              <w:keepNext/>
              <w:rPr>
                <w:color w:val="000000" w:themeColor="text1"/>
              </w:rPr>
            </w:pPr>
            <w:r w:rsidRPr="2B54E49A">
              <w:rPr>
                <w:color w:val="000000" w:themeColor="text1"/>
              </w:rPr>
              <w:t>From 2026 onwards, the system becomes fully operational. Importers must submit an annual CBAM declaration by 31 May each year, which includes verified data on embedded emissions and the number of CBAM certificates to be surrendered (Article 6(1)</w:t>
            </w:r>
            <w:r w:rsidR="4388ADA4" w:rsidRPr="2B54E49A">
              <w:rPr>
                <w:color w:val="000000" w:themeColor="text1"/>
              </w:rPr>
              <w:t>-</w:t>
            </w:r>
            <w:r w:rsidRPr="2B54E49A">
              <w:rPr>
                <w:color w:val="000000" w:themeColor="text1"/>
              </w:rPr>
              <w:t>(2)). These declarations must be verified by independent, accredited verifiers in accordance with strict EU rules (Article 8, Annex VI).</w:t>
            </w:r>
          </w:p>
          <w:p w14:paraId="7F2B6928" w14:textId="77777777" w:rsidR="00137AAC" w:rsidRPr="00137AAC" w:rsidRDefault="00137AAC" w:rsidP="00137AAC">
            <w:pPr>
              <w:keepNext/>
              <w:rPr>
                <w:color w:val="000000" w:themeColor="text1"/>
              </w:rPr>
            </w:pPr>
            <w:r w:rsidRPr="00137AAC">
              <w:rPr>
                <w:color w:val="000000" w:themeColor="text1"/>
              </w:rPr>
              <w:t>All data is managed centrally through the CBAM Registry, an EU-level digital system operated by the European Commission (Article 14). The Commission also plays an oversight role by reviewing declarations and issuing periodic implementation reports to the European Parliament and Council (Articles 26 and 30).</w:t>
            </w:r>
          </w:p>
          <w:p w14:paraId="2C2128DB" w14:textId="6F38B3E2" w:rsidR="00093CA9" w:rsidRPr="00137AAC" w:rsidRDefault="00137AAC" w:rsidP="00093CA9">
            <w:pPr>
              <w:keepNext/>
              <w:rPr>
                <w:color w:val="000000" w:themeColor="text1"/>
              </w:rPr>
            </w:pPr>
            <w:r w:rsidRPr="00137AAC">
              <w:rPr>
                <w:color w:val="000000" w:themeColor="text1"/>
              </w:rPr>
              <w:t>Together, these elements ensure that the CBAM is closely monitored at both national and EU levels, with transparent reporting, independent verification, and structured review mechanisms.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2B54E49A">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2B54E49A">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2B54E49A">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1AF083DA" w:rsidR="00D4323A" w:rsidRPr="00CF2E7C" w:rsidRDefault="00E72F66"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2B54E49A">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7FEFCF1" w:rsidR="00D4323A" w:rsidRPr="00CF2E7C" w:rsidRDefault="00E72F66"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2B54E49A">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C733F70" w:rsidR="00D4323A" w:rsidRPr="00CF2E7C" w:rsidRDefault="00E72F66" w:rsidP="00CF2E7C">
            <w:pPr>
              <w:rPr>
                <w:rFonts w:ascii="Calibri" w:hAnsi="Calibri" w:cs="Calibri"/>
              </w:rPr>
            </w:pPr>
            <w:r>
              <w:rPr>
                <w:rFonts w:ascii="Calibri" w:hAnsi="Calibri" w:cs="Calibri"/>
              </w:rPr>
              <w:t>X</w:t>
            </w:r>
          </w:p>
        </w:tc>
      </w:tr>
      <w:tr w:rsidR="00D4323A" w:rsidRPr="00CF2E7C" w14:paraId="1D69381B" w14:textId="77777777" w:rsidTr="2B54E49A">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413A85A" w:rsidR="00D4323A" w:rsidRPr="00CF2E7C" w:rsidRDefault="008F1C63"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2B54E49A">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12E602F" w:rsidR="00D4323A" w:rsidRPr="00CF2E7C" w:rsidRDefault="008F1C63"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2B54E49A">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2B2CBC99" w:rsidR="00D4323A" w:rsidRPr="00CF2E7C" w:rsidRDefault="008F1C63"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2B54E49A">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E4C0508" w:rsidR="00D4323A" w:rsidRPr="00CF2E7C" w:rsidRDefault="008F1C63" w:rsidP="00CF2E7C">
            <w:pPr>
              <w:rPr>
                <w:rFonts w:ascii="Calibri" w:hAnsi="Calibri" w:cs="Calibri"/>
              </w:rPr>
            </w:pPr>
            <w:r>
              <w:rPr>
                <w:rFonts w:ascii="Calibri" w:hAnsi="Calibri" w:cs="Calibri"/>
              </w:rPr>
              <w:t>X</w:t>
            </w:r>
          </w:p>
        </w:tc>
      </w:tr>
      <w:tr w:rsidR="00D4323A" w:rsidRPr="00CF2E7C" w14:paraId="6DFD5C2C" w14:textId="77777777" w:rsidTr="2B54E49A">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56A00BC" w:rsidR="00D4323A" w:rsidRPr="00CF2E7C" w:rsidRDefault="008F1C63" w:rsidP="00CF2E7C">
            <w:pPr>
              <w:rPr>
                <w:rFonts w:ascii="Calibri" w:hAnsi="Calibri" w:cs="Calibri"/>
              </w:rPr>
            </w:pPr>
            <w:r>
              <w:rPr>
                <w:rFonts w:ascii="Calibri" w:hAnsi="Calibri" w:cs="Calibri"/>
              </w:rPr>
              <w:t>X</w:t>
            </w:r>
          </w:p>
        </w:tc>
      </w:tr>
      <w:tr w:rsidR="00D4323A" w:rsidRPr="00CF2E7C" w14:paraId="031D95EE" w14:textId="77777777" w:rsidTr="2B54E49A">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EAB1DCF" w:rsidR="00D4323A" w:rsidRPr="00CF2E7C" w:rsidRDefault="008F1C63" w:rsidP="00CF2E7C">
            <w:pPr>
              <w:rPr>
                <w:rFonts w:ascii="Calibri" w:hAnsi="Calibri" w:cs="Calibri"/>
              </w:rPr>
            </w:pPr>
            <w:r>
              <w:rPr>
                <w:rFonts w:ascii="Calibri" w:hAnsi="Calibri" w:cs="Calibri"/>
              </w:rPr>
              <w:t>X</w:t>
            </w:r>
          </w:p>
        </w:tc>
      </w:tr>
      <w:tr w:rsidR="00D4323A" w:rsidRPr="00CF2E7C" w14:paraId="222BB92C" w14:textId="77777777" w:rsidTr="2B54E49A">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05A39599" w:rsidR="00D4323A" w:rsidRPr="00CF2E7C" w:rsidRDefault="008F1C63" w:rsidP="00CF2E7C">
            <w:pPr>
              <w:rPr>
                <w:rFonts w:ascii="Calibri" w:hAnsi="Calibri" w:cs="Calibri"/>
              </w:rPr>
            </w:pPr>
            <w:r>
              <w:rPr>
                <w:rFonts w:ascii="Calibri" w:hAnsi="Calibri" w:cs="Calibri"/>
              </w:rPr>
              <w:t>X</w:t>
            </w:r>
          </w:p>
        </w:tc>
      </w:tr>
      <w:tr w:rsidR="00D4323A" w:rsidRPr="00CF2E7C" w14:paraId="1F384835" w14:textId="77777777" w:rsidTr="2B54E49A">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FAECABF" w:rsidR="00D4323A" w:rsidRPr="00CF2E7C" w:rsidRDefault="008F1C63" w:rsidP="00CF2E7C">
            <w:pPr>
              <w:rPr>
                <w:rFonts w:ascii="Calibri" w:hAnsi="Calibri" w:cs="Calibri"/>
              </w:rPr>
            </w:pPr>
            <w:r>
              <w:rPr>
                <w:rFonts w:ascii="Calibri" w:hAnsi="Calibri" w:cs="Calibri"/>
              </w:rPr>
              <w:t>X</w:t>
            </w:r>
          </w:p>
        </w:tc>
      </w:tr>
      <w:tr w:rsidR="00D4323A" w:rsidRPr="00CF2E7C" w14:paraId="664817A5" w14:textId="77777777" w:rsidTr="2B54E49A">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1FA4FC1F" w:rsidR="00D4323A" w:rsidRPr="00CF2E7C" w:rsidRDefault="008F1C63"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2B54E49A">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768F91F" w:rsidR="00D4323A" w:rsidRPr="00CF2E7C" w:rsidRDefault="008F1C63"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2B54E49A">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2B54E49A">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2DDBBA66" w:rsidR="00092534" w:rsidRPr="00CF2E7C" w:rsidRDefault="623EEC54" w:rsidP="00CF2E7C">
            <w:pPr>
              <w:rPr>
                <w:rFonts w:ascii="Calibri" w:hAnsi="Calibri" w:cs="Calibri"/>
              </w:rPr>
            </w:pPr>
            <w:r w:rsidRPr="2B54E49A">
              <w:rPr>
                <w:rFonts w:ascii="Calibri" w:hAnsi="Calibri" w:cs="Calibri"/>
              </w:rPr>
              <w:t>Indirect customs representatives</w:t>
            </w:r>
            <w:r w:rsidR="14DD73C7" w:rsidRPr="2B54E49A">
              <w:rPr>
                <w:rFonts w:ascii="Calibri" w:hAnsi="Calibri" w:cs="Calibri"/>
              </w:rPr>
              <w:t xml:space="preserve"> – </w:t>
            </w:r>
            <w:r w:rsidRPr="2B54E49A">
              <w:rPr>
                <w:rFonts w:ascii="Calibri" w:hAnsi="Calibri" w:cs="Calibri"/>
              </w:rPr>
              <w:t>such as freight forwarders, customs brokers or logistics firms</w:t>
            </w:r>
            <w:r w:rsidR="23C0D58B" w:rsidRPr="2B54E49A">
              <w:rPr>
                <w:rFonts w:ascii="Calibri" w:hAnsi="Calibri" w:cs="Calibri"/>
              </w:rPr>
              <w:t xml:space="preserve"> – </w:t>
            </w:r>
            <w:r w:rsidRPr="2B54E49A">
              <w:rPr>
                <w:rFonts w:ascii="Calibri" w:hAnsi="Calibri" w:cs="Calibri"/>
              </w:rPr>
              <w:t>may become subject to CBAM obligations in lieu of or on behalf of the importer. They are not a conventional “entity type” like private companies or public bodies but are intermediary actors recognised under customs law and targeted functionally under CBAM.</w:t>
            </w:r>
          </w:p>
        </w:tc>
      </w:tr>
      <w:tr w:rsidR="00092534" w:rsidRPr="00CF2E7C" w14:paraId="4D9006DA" w14:textId="77777777" w:rsidTr="2B54E49A">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2B54E49A">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2B54E49A">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1E47FF46" w:rsidR="00092534" w:rsidRPr="00CF2E7C" w:rsidRDefault="00F02257" w:rsidP="00CF2E7C">
            <w:pPr>
              <w:rPr>
                <w:rFonts w:ascii="Calibri" w:hAnsi="Calibri" w:cs="Calibri"/>
              </w:rPr>
            </w:pPr>
            <w:r>
              <w:rPr>
                <w:rFonts w:ascii="Calibri" w:hAnsi="Calibri" w:cs="Calibri"/>
              </w:rPr>
              <w:t>X</w:t>
            </w:r>
          </w:p>
        </w:tc>
      </w:tr>
      <w:tr w:rsidR="00092534" w:rsidRPr="00CF2E7C" w14:paraId="1DB9BA0A" w14:textId="77777777" w:rsidTr="2B54E49A">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4B18F5B3" w:rsidR="00092534" w:rsidRPr="00CF2E7C" w:rsidRDefault="00F02257" w:rsidP="00CF2E7C">
            <w:pPr>
              <w:rPr>
                <w:rFonts w:ascii="Calibri" w:hAnsi="Calibri" w:cs="Calibri"/>
              </w:rPr>
            </w:pPr>
            <w:r>
              <w:rPr>
                <w:rFonts w:ascii="Calibri" w:hAnsi="Calibri" w:cs="Calibri"/>
              </w:rPr>
              <w:t>X</w:t>
            </w:r>
          </w:p>
        </w:tc>
      </w:tr>
      <w:tr w:rsidR="00092534" w:rsidRPr="00CF2E7C" w14:paraId="23EED245" w14:textId="77777777" w:rsidTr="2B54E49A">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0ADFEA95" w:rsidR="00092534" w:rsidRPr="00CF2E7C" w:rsidRDefault="00F02257" w:rsidP="00CF2E7C">
            <w:pPr>
              <w:rPr>
                <w:rFonts w:ascii="Calibri" w:hAnsi="Calibri" w:cs="Calibri"/>
              </w:rPr>
            </w:pPr>
            <w:r>
              <w:rPr>
                <w:rFonts w:ascii="Calibri" w:hAnsi="Calibri" w:cs="Calibri"/>
              </w:rPr>
              <w:t>X</w:t>
            </w:r>
          </w:p>
        </w:tc>
      </w:tr>
      <w:tr w:rsidR="00092534" w:rsidRPr="00CF2E7C" w14:paraId="480540E5" w14:textId="77777777" w:rsidTr="2B54E49A">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4B371285" w:rsidR="00092534" w:rsidRPr="00CF2E7C" w:rsidRDefault="00F02257" w:rsidP="00CF2E7C">
            <w:pPr>
              <w:rPr>
                <w:rFonts w:ascii="Calibri" w:hAnsi="Calibri" w:cs="Calibri"/>
              </w:rPr>
            </w:pPr>
            <w:r>
              <w:rPr>
                <w:rFonts w:ascii="Calibri" w:hAnsi="Calibri" w:cs="Calibri"/>
              </w:rPr>
              <w:t>X</w:t>
            </w:r>
          </w:p>
        </w:tc>
      </w:tr>
      <w:tr w:rsidR="00092534" w:rsidRPr="00CF2E7C" w14:paraId="703F2AC4" w14:textId="77777777" w:rsidTr="2B54E49A">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1ACE6198" w:rsidR="00092534" w:rsidRPr="00CF2E7C" w:rsidRDefault="00F02257" w:rsidP="00CF2E7C">
            <w:pPr>
              <w:rPr>
                <w:rFonts w:ascii="Calibri" w:hAnsi="Calibri" w:cs="Calibri"/>
              </w:rPr>
            </w:pPr>
            <w:r>
              <w:rPr>
                <w:rFonts w:ascii="Calibri" w:hAnsi="Calibri" w:cs="Calibri"/>
              </w:rPr>
              <w:t>X</w:t>
            </w:r>
          </w:p>
        </w:tc>
      </w:tr>
      <w:tr w:rsidR="00092534" w:rsidRPr="00CF2E7C" w14:paraId="034299A9" w14:textId="77777777" w:rsidTr="2B54E49A">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A82BF8F" w:rsidR="00092534" w:rsidRPr="00CF2E7C" w:rsidRDefault="00F02257" w:rsidP="00CF2E7C">
            <w:pPr>
              <w:rPr>
                <w:rFonts w:ascii="Calibri" w:hAnsi="Calibri" w:cs="Calibri"/>
              </w:rPr>
            </w:pPr>
            <w:r>
              <w:rPr>
                <w:rFonts w:ascii="Calibri" w:hAnsi="Calibri" w:cs="Calibri"/>
              </w:rPr>
              <w:t>X</w:t>
            </w:r>
          </w:p>
        </w:tc>
      </w:tr>
      <w:tr w:rsidR="00092534" w:rsidRPr="00CF2E7C" w14:paraId="702FCAC1" w14:textId="77777777" w:rsidTr="2B54E49A">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2B54E49A">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2B54E49A">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2B54E49A">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2B54E49A">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3711CA0" w:rsidR="00092534" w:rsidRPr="00CF2E7C" w:rsidRDefault="000774AB" w:rsidP="00CF2E7C">
            <w:pPr>
              <w:rPr>
                <w:rFonts w:ascii="Calibri" w:hAnsi="Calibri" w:cs="Calibri"/>
              </w:rPr>
            </w:pPr>
            <w:r>
              <w:rPr>
                <w:rFonts w:ascii="Calibri" w:hAnsi="Calibri" w:cs="Calibri"/>
              </w:rPr>
              <w:t>X</w:t>
            </w:r>
          </w:p>
        </w:tc>
      </w:tr>
      <w:tr w:rsidR="00092534" w:rsidRPr="00CF2E7C" w14:paraId="0D8FCA12" w14:textId="77777777" w:rsidTr="2B54E49A">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55640A27" w:rsidR="00092534" w:rsidRPr="00CF2E7C" w:rsidRDefault="000774AB"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2B54E49A">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9E666E3" w:rsidR="00092534" w:rsidRPr="00CF2E7C" w:rsidRDefault="000774AB"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2B54E49A">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70601D0" w:rsidR="00092534" w:rsidRPr="00CF2E7C" w:rsidRDefault="000774AB"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2B54E49A">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5C80390A" w:rsidR="00092534" w:rsidRPr="00CF2E7C" w:rsidRDefault="000774AB" w:rsidP="00CF2E7C">
            <w:pPr>
              <w:rPr>
                <w:rFonts w:ascii="Calibri" w:hAnsi="Calibri" w:cs="Calibri"/>
              </w:rPr>
            </w:pPr>
            <w:r>
              <w:rPr>
                <w:rFonts w:ascii="Calibri" w:hAnsi="Calibri" w:cs="Calibri"/>
              </w:rPr>
              <w:t>X</w:t>
            </w:r>
          </w:p>
        </w:tc>
      </w:tr>
      <w:tr w:rsidR="00092534" w:rsidRPr="00CF2E7C" w14:paraId="2B881C48" w14:textId="77777777" w:rsidTr="2B54E49A">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3E19227A" w:rsidR="00092534" w:rsidRPr="00CF2E7C" w:rsidRDefault="000774AB" w:rsidP="00CF2E7C">
            <w:pPr>
              <w:rPr>
                <w:rFonts w:ascii="Calibri" w:hAnsi="Calibri" w:cs="Calibri"/>
              </w:rPr>
            </w:pPr>
            <w:r>
              <w:rPr>
                <w:rFonts w:ascii="Calibri" w:hAnsi="Calibri" w:cs="Calibri"/>
              </w:rPr>
              <w:t>X</w:t>
            </w:r>
          </w:p>
        </w:tc>
      </w:tr>
      <w:tr w:rsidR="00092534" w:rsidRPr="00CF2E7C" w14:paraId="08E3215A" w14:textId="77777777" w:rsidTr="2B54E49A">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A4BB21B" w:rsidR="00092534" w:rsidRPr="00CF2E7C" w:rsidRDefault="000774AB" w:rsidP="00CF2E7C">
            <w:pPr>
              <w:rPr>
                <w:rFonts w:ascii="Calibri" w:hAnsi="Calibri" w:cs="Calibri"/>
              </w:rPr>
            </w:pPr>
            <w:r>
              <w:rPr>
                <w:rFonts w:ascii="Calibri" w:hAnsi="Calibri" w:cs="Calibri"/>
              </w:rPr>
              <w:t>X</w:t>
            </w:r>
          </w:p>
        </w:tc>
      </w:tr>
      <w:tr w:rsidR="00092534" w:rsidRPr="00CF2E7C" w14:paraId="13876855" w14:textId="77777777" w:rsidTr="2B54E49A">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4FC6E01" w:rsidR="00092534" w:rsidRPr="00CF2E7C" w:rsidRDefault="000774AB" w:rsidP="00CF2E7C">
            <w:pPr>
              <w:rPr>
                <w:rFonts w:ascii="Calibri" w:hAnsi="Calibri" w:cs="Calibri"/>
              </w:rPr>
            </w:pPr>
            <w:r>
              <w:rPr>
                <w:rFonts w:ascii="Calibri" w:hAnsi="Calibri" w:cs="Calibri"/>
              </w:rPr>
              <w:t>X</w:t>
            </w:r>
          </w:p>
        </w:tc>
      </w:tr>
      <w:tr w:rsidR="000774AB" w:rsidRPr="00CF2E7C" w14:paraId="4D40FE43" w14:textId="77777777" w:rsidTr="2B54E49A">
        <w:trPr>
          <w:trHeight w:val="300"/>
        </w:trPr>
        <w:tc>
          <w:tcPr>
            <w:tcW w:w="1065" w:type="dxa"/>
            <w:vAlign w:val="center"/>
          </w:tcPr>
          <w:p w14:paraId="4CBA3056" w14:textId="7DA75795" w:rsidR="000774AB" w:rsidRPr="00CF2E7C" w:rsidRDefault="000774AB" w:rsidP="000774AB">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774AB" w:rsidRPr="00CF2E7C" w:rsidRDefault="000774AB" w:rsidP="000774AB">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774AB" w:rsidRPr="00CF2E7C" w:rsidRDefault="000774AB" w:rsidP="000774AB">
            <w:pPr>
              <w:rPr>
                <w:rFonts w:ascii="Calibri" w:hAnsi="Calibri" w:cs="Calibri"/>
              </w:rPr>
            </w:pPr>
          </w:p>
        </w:tc>
        <w:tc>
          <w:tcPr>
            <w:tcW w:w="1674" w:type="dxa"/>
            <w:vAlign w:val="center"/>
          </w:tcPr>
          <w:p w14:paraId="27F2E7AF" w14:textId="77777777" w:rsidR="000774AB" w:rsidRPr="00CF2E7C" w:rsidRDefault="000774AB" w:rsidP="000774AB">
            <w:pPr>
              <w:rPr>
                <w:rFonts w:ascii="Calibri" w:hAnsi="Calibri" w:cs="Calibri"/>
              </w:rPr>
            </w:pPr>
          </w:p>
        </w:tc>
        <w:tc>
          <w:tcPr>
            <w:tcW w:w="1723" w:type="dxa"/>
          </w:tcPr>
          <w:p w14:paraId="2CAEE982" w14:textId="49E11A02" w:rsidR="000774AB" w:rsidRPr="00CF2E7C" w:rsidRDefault="000774AB" w:rsidP="000774AB">
            <w:pPr>
              <w:rPr>
                <w:rFonts w:ascii="Calibri" w:hAnsi="Calibri" w:cs="Calibri"/>
              </w:rPr>
            </w:pPr>
            <w:r w:rsidRPr="00DB7CDA">
              <w:rPr>
                <w:rFonts w:ascii="Calibri" w:hAnsi="Calibri" w:cs="Calibri"/>
              </w:rPr>
              <w:t>X</w:t>
            </w:r>
          </w:p>
        </w:tc>
      </w:tr>
      <w:tr w:rsidR="000774AB" w:rsidRPr="00CF2E7C" w14:paraId="65B84C8E" w14:textId="77777777" w:rsidTr="2B54E49A">
        <w:trPr>
          <w:trHeight w:val="22"/>
        </w:trPr>
        <w:tc>
          <w:tcPr>
            <w:tcW w:w="1065" w:type="dxa"/>
            <w:vAlign w:val="center"/>
          </w:tcPr>
          <w:p w14:paraId="5167289B" w14:textId="36D4A9D6" w:rsidR="000774AB" w:rsidRPr="00CF2E7C" w:rsidRDefault="000774AB" w:rsidP="000774AB">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774AB" w:rsidRPr="00CF2E7C" w:rsidRDefault="000774AB" w:rsidP="000774AB">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774AB" w:rsidRPr="00CF2E7C" w:rsidRDefault="000774AB" w:rsidP="000774AB">
            <w:pPr>
              <w:rPr>
                <w:rFonts w:ascii="Calibri" w:hAnsi="Calibri" w:cs="Calibri"/>
              </w:rPr>
            </w:pPr>
          </w:p>
        </w:tc>
        <w:tc>
          <w:tcPr>
            <w:tcW w:w="1674" w:type="dxa"/>
            <w:vAlign w:val="center"/>
          </w:tcPr>
          <w:p w14:paraId="2CCC6A3E" w14:textId="77777777" w:rsidR="000774AB" w:rsidRPr="00CF2E7C" w:rsidRDefault="000774AB" w:rsidP="000774AB">
            <w:pPr>
              <w:rPr>
                <w:rFonts w:ascii="Calibri" w:hAnsi="Calibri" w:cs="Calibri"/>
              </w:rPr>
            </w:pPr>
          </w:p>
        </w:tc>
        <w:tc>
          <w:tcPr>
            <w:tcW w:w="1723" w:type="dxa"/>
          </w:tcPr>
          <w:p w14:paraId="39149581" w14:textId="5BAF94E5" w:rsidR="000774AB" w:rsidRPr="00CF2E7C" w:rsidRDefault="000774AB" w:rsidP="000774AB">
            <w:pPr>
              <w:rPr>
                <w:rFonts w:ascii="Calibri" w:hAnsi="Calibri" w:cs="Calibri"/>
              </w:rPr>
            </w:pPr>
            <w:r w:rsidRPr="00DB7CDA">
              <w:rPr>
                <w:rFonts w:ascii="Calibri" w:hAnsi="Calibri" w:cs="Calibri"/>
              </w:rPr>
              <w:t>X</w:t>
            </w:r>
          </w:p>
        </w:tc>
      </w:tr>
      <w:tr w:rsidR="000774AB" w:rsidRPr="00CF2E7C" w14:paraId="02B18A57" w14:textId="77777777" w:rsidTr="2B54E49A">
        <w:trPr>
          <w:trHeight w:val="300"/>
        </w:trPr>
        <w:tc>
          <w:tcPr>
            <w:tcW w:w="1065" w:type="dxa"/>
            <w:vAlign w:val="center"/>
          </w:tcPr>
          <w:p w14:paraId="6A5DC37E" w14:textId="352B3B79" w:rsidR="000774AB" w:rsidRPr="00CF2E7C" w:rsidRDefault="000774AB" w:rsidP="000774AB">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774AB" w:rsidRPr="00CF2E7C" w:rsidRDefault="000774AB" w:rsidP="000774AB">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774AB" w:rsidRPr="00CF2E7C" w:rsidRDefault="000774AB" w:rsidP="000774AB">
            <w:pPr>
              <w:rPr>
                <w:rFonts w:ascii="Calibri" w:hAnsi="Calibri" w:cs="Calibri"/>
              </w:rPr>
            </w:pPr>
          </w:p>
        </w:tc>
        <w:tc>
          <w:tcPr>
            <w:tcW w:w="1674" w:type="dxa"/>
            <w:vAlign w:val="center"/>
          </w:tcPr>
          <w:p w14:paraId="6DFB7727" w14:textId="77777777" w:rsidR="000774AB" w:rsidRPr="00CF2E7C" w:rsidRDefault="000774AB" w:rsidP="000774AB">
            <w:pPr>
              <w:rPr>
                <w:rFonts w:ascii="Calibri" w:hAnsi="Calibri" w:cs="Calibri"/>
              </w:rPr>
            </w:pPr>
          </w:p>
        </w:tc>
        <w:tc>
          <w:tcPr>
            <w:tcW w:w="1723" w:type="dxa"/>
          </w:tcPr>
          <w:p w14:paraId="6316F493" w14:textId="79EFEAAE" w:rsidR="000774AB" w:rsidRPr="00CF2E7C" w:rsidRDefault="000774AB" w:rsidP="000774AB">
            <w:pPr>
              <w:rPr>
                <w:rFonts w:ascii="Calibri" w:hAnsi="Calibri" w:cs="Calibri"/>
              </w:rPr>
            </w:pPr>
            <w:r w:rsidRPr="00DB7CDA">
              <w:rPr>
                <w:rFonts w:ascii="Calibri" w:hAnsi="Calibri" w:cs="Calibri"/>
              </w:rPr>
              <w:t>X</w:t>
            </w:r>
          </w:p>
        </w:tc>
      </w:tr>
      <w:tr w:rsidR="000774AB" w:rsidRPr="00CF2E7C" w14:paraId="60EF0DF1" w14:textId="77777777" w:rsidTr="2B54E49A">
        <w:trPr>
          <w:trHeight w:val="300"/>
        </w:trPr>
        <w:tc>
          <w:tcPr>
            <w:tcW w:w="1065" w:type="dxa"/>
            <w:vAlign w:val="center"/>
          </w:tcPr>
          <w:p w14:paraId="7014E466" w14:textId="65DCF265" w:rsidR="000774AB" w:rsidRPr="00CF2E7C" w:rsidRDefault="000774AB" w:rsidP="000774AB">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774AB" w:rsidRPr="00CF2E7C" w:rsidRDefault="000774AB" w:rsidP="000774AB">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774AB" w:rsidRPr="00CF2E7C" w:rsidRDefault="000774AB" w:rsidP="000774AB">
            <w:pPr>
              <w:rPr>
                <w:rFonts w:ascii="Calibri" w:hAnsi="Calibri" w:cs="Calibri"/>
              </w:rPr>
            </w:pPr>
          </w:p>
        </w:tc>
        <w:tc>
          <w:tcPr>
            <w:tcW w:w="1674" w:type="dxa"/>
            <w:vAlign w:val="center"/>
          </w:tcPr>
          <w:p w14:paraId="1CC9B5C8" w14:textId="77777777" w:rsidR="000774AB" w:rsidRPr="00CF2E7C" w:rsidRDefault="000774AB" w:rsidP="000774AB">
            <w:pPr>
              <w:rPr>
                <w:rFonts w:ascii="Calibri" w:hAnsi="Calibri" w:cs="Calibri"/>
              </w:rPr>
            </w:pPr>
          </w:p>
        </w:tc>
        <w:tc>
          <w:tcPr>
            <w:tcW w:w="1723" w:type="dxa"/>
          </w:tcPr>
          <w:p w14:paraId="014F7959" w14:textId="040B1F15" w:rsidR="000774AB" w:rsidRPr="00CF2E7C" w:rsidRDefault="000774AB" w:rsidP="000774AB">
            <w:pPr>
              <w:rPr>
                <w:rFonts w:ascii="Calibri" w:hAnsi="Calibri" w:cs="Calibri"/>
              </w:rPr>
            </w:pPr>
            <w:r w:rsidRPr="00DB7CDA">
              <w:rPr>
                <w:rFonts w:ascii="Calibri" w:hAnsi="Calibri" w:cs="Calibri"/>
              </w:rPr>
              <w:t>X</w:t>
            </w:r>
          </w:p>
        </w:tc>
      </w:tr>
      <w:tr w:rsidR="000774AB" w:rsidRPr="00CF2E7C" w14:paraId="3C3D711E" w14:textId="77777777" w:rsidTr="2B54E49A">
        <w:trPr>
          <w:trHeight w:val="300"/>
        </w:trPr>
        <w:tc>
          <w:tcPr>
            <w:tcW w:w="1065" w:type="dxa"/>
            <w:vAlign w:val="center"/>
          </w:tcPr>
          <w:p w14:paraId="4DF6C2BF" w14:textId="445EAF7D" w:rsidR="000774AB" w:rsidRPr="00CF2E7C" w:rsidRDefault="000774AB" w:rsidP="000774AB">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774AB" w:rsidRPr="00CF2E7C" w:rsidRDefault="000774AB" w:rsidP="000774AB">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774AB" w:rsidRPr="00CF2E7C" w:rsidRDefault="000774AB" w:rsidP="000774AB">
            <w:pPr>
              <w:rPr>
                <w:rFonts w:ascii="Calibri" w:hAnsi="Calibri" w:cs="Calibri"/>
              </w:rPr>
            </w:pPr>
          </w:p>
        </w:tc>
        <w:tc>
          <w:tcPr>
            <w:tcW w:w="1674" w:type="dxa"/>
            <w:vAlign w:val="center"/>
          </w:tcPr>
          <w:p w14:paraId="3856D881" w14:textId="77777777" w:rsidR="000774AB" w:rsidRPr="00CF2E7C" w:rsidRDefault="000774AB" w:rsidP="000774AB">
            <w:pPr>
              <w:rPr>
                <w:rFonts w:ascii="Calibri" w:hAnsi="Calibri" w:cs="Calibri"/>
              </w:rPr>
            </w:pPr>
          </w:p>
        </w:tc>
        <w:tc>
          <w:tcPr>
            <w:tcW w:w="1723" w:type="dxa"/>
          </w:tcPr>
          <w:p w14:paraId="76BC98C3" w14:textId="39B4247F" w:rsidR="000774AB" w:rsidRPr="00CF2E7C" w:rsidRDefault="000774AB" w:rsidP="000774AB">
            <w:pPr>
              <w:rPr>
                <w:rFonts w:ascii="Calibri" w:hAnsi="Calibri" w:cs="Calibri"/>
              </w:rPr>
            </w:pPr>
            <w:r w:rsidRPr="00DB7CDA">
              <w:rPr>
                <w:rFonts w:ascii="Calibri" w:hAnsi="Calibri" w:cs="Calibri"/>
              </w:rPr>
              <w:t>X</w:t>
            </w:r>
          </w:p>
        </w:tc>
      </w:tr>
      <w:tr w:rsidR="000774AB" w:rsidRPr="00CF2E7C" w14:paraId="61BE2C5D" w14:textId="77777777" w:rsidTr="2B54E49A">
        <w:trPr>
          <w:trHeight w:val="300"/>
        </w:trPr>
        <w:tc>
          <w:tcPr>
            <w:tcW w:w="1065" w:type="dxa"/>
            <w:vAlign w:val="center"/>
          </w:tcPr>
          <w:p w14:paraId="1C29648B" w14:textId="4E6597D5" w:rsidR="000774AB" w:rsidRPr="00CF2E7C" w:rsidRDefault="000774AB" w:rsidP="000774AB">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774AB" w:rsidRPr="00CF2E7C" w:rsidRDefault="000774AB" w:rsidP="000774AB">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774AB" w:rsidRPr="00CF2E7C" w:rsidRDefault="000774AB" w:rsidP="000774AB">
            <w:pPr>
              <w:rPr>
                <w:rFonts w:ascii="Calibri" w:hAnsi="Calibri" w:cs="Calibri"/>
              </w:rPr>
            </w:pPr>
          </w:p>
        </w:tc>
        <w:tc>
          <w:tcPr>
            <w:tcW w:w="1674" w:type="dxa"/>
            <w:vAlign w:val="center"/>
          </w:tcPr>
          <w:p w14:paraId="3C79DD1F" w14:textId="77777777" w:rsidR="000774AB" w:rsidRPr="00CF2E7C" w:rsidRDefault="000774AB" w:rsidP="000774AB">
            <w:pPr>
              <w:rPr>
                <w:rFonts w:ascii="Calibri" w:hAnsi="Calibri" w:cs="Calibri"/>
              </w:rPr>
            </w:pPr>
          </w:p>
        </w:tc>
        <w:tc>
          <w:tcPr>
            <w:tcW w:w="1723" w:type="dxa"/>
          </w:tcPr>
          <w:p w14:paraId="2A24D2F8" w14:textId="4EE8FAFF" w:rsidR="000774AB" w:rsidRPr="00CF2E7C" w:rsidRDefault="000774AB" w:rsidP="000774AB">
            <w:pPr>
              <w:rPr>
                <w:rFonts w:ascii="Calibri" w:hAnsi="Calibri" w:cs="Calibri"/>
              </w:rPr>
            </w:pPr>
            <w:r w:rsidRPr="00DB7CDA">
              <w:rPr>
                <w:rFonts w:ascii="Calibri" w:hAnsi="Calibri" w:cs="Calibri"/>
              </w:rPr>
              <w:t>X</w:t>
            </w:r>
          </w:p>
        </w:tc>
      </w:tr>
      <w:tr w:rsidR="000774AB" w:rsidRPr="00CF2E7C" w14:paraId="63958F64" w14:textId="77777777" w:rsidTr="2B54E49A">
        <w:trPr>
          <w:trHeight w:val="300"/>
        </w:trPr>
        <w:tc>
          <w:tcPr>
            <w:tcW w:w="1065" w:type="dxa"/>
            <w:vAlign w:val="center"/>
          </w:tcPr>
          <w:p w14:paraId="57B8D56F" w14:textId="57AFCC30" w:rsidR="000774AB" w:rsidRPr="00CF2E7C" w:rsidRDefault="000774AB" w:rsidP="000774AB">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774AB" w:rsidRPr="00CF2E7C" w:rsidRDefault="000774AB" w:rsidP="000774AB">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774AB" w:rsidRPr="00CF2E7C" w:rsidRDefault="000774AB" w:rsidP="000774AB">
            <w:pPr>
              <w:rPr>
                <w:rFonts w:ascii="Calibri" w:hAnsi="Calibri" w:cs="Calibri"/>
              </w:rPr>
            </w:pPr>
          </w:p>
        </w:tc>
        <w:tc>
          <w:tcPr>
            <w:tcW w:w="1674" w:type="dxa"/>
            <w:vAlign w:val="center"/>
          </w:tcPr>
          <w:p w14:paraId="01F43283" w14:textId="77777777" w:rsidR="000774AB" w:rsidRPr="00CF2E7C" w:rsidRDefault="000774AB" w:rsidP="000774AB">
            <w:pPr>
              <w:rPr>
                <w:rFonts w:ascii="Calibri" w:hAnsi="Calibri" w:cs="Calibri"/>
              </w:rPr>
            </w:pPr>
          </w:p>
        </w:tc>
        <w:tc>
          <w:tcPr>
            <w:tcW w:w="1723" w:type="dxa"/>
          </w:tcPr>
          <w:p w14:paraId="1042892F" w14:textId="5AF1E0D3" w:rsidR="000774AB" w:rsidRPr="00CF2E7C" w:rsidRDefault="000774AB" w:rsidP="000774AB">
            <w:pPr>
              <w:rPr>
                <w:rFonts w:ascii="Calibri" w:hAnsi="Calibri" w:cs="Calibri"/>
              </w:rPr>
            </w:pPr>
            <w:r w:rsidRPr="00DB7CDA">
              <w:rPr>
                <w:rFonts w:ascii="Calibri" w:hAnsi="Calibri" w:cs="Calibri"/>
              </w:rPr>
              <w:t>X</w:t>
            </w:r>
          </w:p>
        </w:tc>
      </w:tr>
      <w:tr w:rsidR="000774AB" w:rsidRPr="00CF2E7C" w14:paraId="6499E61A" w14:textId="77777777" w:rsidTr="2B54E49A">
        <w:trPr>
          <w:trHeight w:val="300"/>
        </w:trPr>
        <w:tc>
          <w:tcPr>
            <w:tcW w:w="1065" w:type="dxa"/>
            <w:vAlign w:val="center"/>
          </w:tcPr>
          <w:p w14:paraId="7BAACC76" w14:textId="40A1EC1B" w:rsidR="000774AB" w:rsidRPr="00CF2E7C" w:rsidRDefault="000774AB" w:rsidP="000774A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774AB" w:rsidRPr="00CF2E7C" w:rsidRDefault="000774AB" w:rsidP="000774AB">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774AB" w:rsidRPr="00CF2E7C" w:rsidRDefault="000774AB" w:rsidP="000774AB">
            <w:pPr>
              <w:rPr>
                <w:rFonts w:ascii="Calibri" w:hAnsi="Calibri" w:cs="Calibri"/>
              </w:rPr>
            </w:pPr>
          </w:p>
        </w:tc>
        <w:tc>
          <w:tcPr>
            <w:tcW w:w="1674" w:type="dxa"/>
            <w:vAlign w:val="center"/>
          </w:tcPr>
          <w:p w14:paraId="11414A1B" w14:textId="77777777" w:rsidR="000774AB" w:rsidRPr="00CF2E7C" w:rsidRDefault="000774AB" w:rsidP="000774AB">
            <w:pPr>
              <w:rPr>
                <w:rFonts w:ascii="Calibri" w:hAnsi="Calibri" w:cs="Calibri"/>
              </w:rPr>
            </w:pPr>
          </w:p>
        </w:tc>
        <w:tc>
          <w:tcPr>
            <w:tcW w:w="1723" w:type="dxa"/>
          </w:tcPr>
          <w:p w14:paraId="10C4AFD3" w14:textId="0C4AF6D7" w:rsidR="000774AB" w:rsidRPr="00CF2E7C" w:rsidRDefault="000774AB" w:rsidP="000774AB">
            <w:pPr>
              <w:rPr>
                <w:rFonts w:ascii="Calibri" w:hAnsi="Calibri" w:cs="Calibri"/>
              </w:rPr>
            </w:pPr>
            <w:r w:rsidRPr="00DB7CDA">
              <w:rPr>
                <w:rFonts w:ascii="Calibri" w:hAnsi="Calibri" w:cs="Calibri"/>
              </w:rPr>
              <w:t>X</w:t>
            </w:r>
          </w:p>
        </w:tc>
      </w:tr>
      <w:tr w:rsidR="000774AB" w:rsidRPr="00CF2E7C" w14:paraId="25D09AE2" w14:textId="77777777" w:rsidTr="2B54E49A">
        <w:trPr>
          <w:trHeight w:val="300"/>
        </w:trPr>
        <w:tc>
          <w:tcPr>
            <w:tcW w:w="1065" w:type="dxa"/>
            <w:vAlign w:val="center"/>
          </w:tcPr>
          <w:p w14:paraId="7F1D52FA" w14:textId="4EAB45BD" w:rsidR="000774AB" w:rsidRPr="00CF2E7C" w:rsidRDefault="000774AB" w:rsidP="000774AB">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774AB" w:rsidRPr="00CF2E7C" w:rsidRDefault="000774AB" w:rsidP="000774AB">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774AB" w:rsidRPr="00CF2E7C" w:rsidRDefault="000774AB" w:rsidP="000774AB">
            <w:pPr>
              <w:rPr>
                <w:rFonts w:ascii="Calibri" w:hAnsi="Calibri" w:cs="Calibri"/>
              </w:rPr>
            </w:pPr>
          </w:p>
        </w:tc>
        <w:tc>
          <w:tcPr>
            <w:tcW w:w="1674" w:type="dxa"/>
            <w:vAlign w:val="center"/>
          </w:tcPr>
          <w:p w14:paraId="4FF9552D" w14:textId="77777777" w:rsidR="000774AB" w:rsidRPr="00CF2E7C" w:rsidRDefault="000774AB" w:rsidP="000774AB">
            <w:pPr>
              <w:rPr>
                <w:rFonts w:ascii="Calibri" w:hAnsi="Calibri" w:cs="Calibri"/>
              </w:rPr>
            </w:pPr>
          </w:p>
        </w:tc>
        <w:tc>
          <w:tcPr>
            <w:tcW w:w="1723" w:type="dxa"/>
          </w:tcPr>
          <w:p w14:paraId="2B458A1F" w14:textId="32EC5712" w:rsidR="000774AB" w:rsidRPr="00CF2E7C" w:rsidRDefault="000774AB" w:rsidP="000774AB">
            <w:pPr>
              <w:rPr>
                <w:rFonts w:ascii="Calibri" w:hAnsi="Calibri" w:cs="Calibri"/>
              </w:rPr>
            </w:pPr>
            <w:r w:rsidRPr="00DB7CDA">
              <w:rPr>
                <w:rFonts w:ascii="Calibri" w:hAnsi="Calibri" w:cs="Calibri"/>
              </w:rPr>
              <w:t>X</w:t>
            </w:r>
          </w:p>
        </w:tc>
      </w:tr>
      <w:tr w:rsidR="000774AB" w:rsidRPr="00CF2E7C" w14:paraId="649A430C" w14:textId="77777777" w:rsidTr="2B54E49A">
        <w:trPr>
          <w:trHeight w:val="300"/>
        </w:trPr>
        <w:tc>
          <w:tcPr>
            <w:tcW w:w="1065" w:type="dxa"/>
            <w:vAlign w:val="center"/>
          </w:tcPr>
          <w:p w14:paraId="4ED29EDA" w14:textId="466BF028" w:rsidR="000774AB" w:rsidRPr="00CF2E7C" w:rsidRDefault="000774AB" w:rsidP="000774AB">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774AB" w:rsidRPr="00CF2E7C" w:rsidRDefault="000774AB" w:rsidP="000774AB">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774AB" w:rsidRPr="00CF2E7C" w:rsidRDefault="000774AB" w:rsidP="000774AB">
            <w:pPr>
              <w:rPr>
                <w:rFonts w:ascii="Calibri" w:hAnsi="Calibri" w:cs="Calibri"/>
              </w:rPr>
            </w:pPr>
          </w:p>
        </w:tc>
        <w:tc>
          <w:tcPr>
            <w:tcW w:w="1674" w:type="dxa"/>
            <w:vAlign w:val="center"/>
          </w:tcPr>
          <w:p w14:paraId="6A93774C" w14:textId="77777777" w:rsidR="000774AB" w:rsidRPr="00CF2E7C" w:rsidRDefault="000774AB" w:rsidP="000774AB">
            <w:pPr>
              <w:rPr>
                <w:rFonts w:ascii="Calibri" w:hAnsi="Calibri" w:cs="Calibri"/>
              </w:rPr>
            </w:pPr>
          </w:p>
        </w:tc>
        <w:tc>
          <w:tcPr>
            <w:tcW w:w="1723" w:type="dxa"/>
          </w:tcPr>
          <w:p w14:paraId="36548C61" w14:textId="2FD51386" w:rsidR="000774AB" w:rsidRPr="00CF2E7C" w:rsidRDefault="000774AB" w:rsidP="000774AB">
            <w:pPr>
              <w:rPr>
                <w:rFonts w:ascii="Calibri" w:hAnsi="Calibri" w:cs="Calibri"/>
              </w:rPr>
            </w:pPr>
            <w:r w:rsidRPr="00DB7CDA">
              <w:rPr>
                <w:rFonts w:ascii="Calibri" w:hAnsi="Calibri" w:cs="Calibri"/>
              </w:rPr>
              <w:t>X</w:t>
            </w:r>
          </w:p>
        </w:tc>
      </w:tr>
      <w:tr w:rsidR="000774AB" w:rsidRPr="00CF2E7C" w14:paraId="7119A346" w14:textId="77777777" w:rsidTr="2B54E49A">
        <w:trPr>
          <w:trHeight w:val="300"/>
        </w:trPr>
        <w:tc>
          <w:tcPr>
            <w:tcW w:w="1065" w:type="dxa"/>
            <w:vAlign w:val="center"/>
          </w:tcPr>
          <w:p w14:paraId="0D0B0D16" w14:textId="46BC8427" w:rsidR="000774AB" w:rsidRPr="00CF2E7C" w:rsidRDefault="000774AB" w:rsidP="000774AB">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774AB" w:rsidRPr="00CF2E7C" w:rsidRDefault="000774AB" w:rsidP="000774AB">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774AB" w:rsidRPr="00CF2E7C" w:rsidRDefault="000774AB" w:rsidP="000774AB">
            <w:pPr>
              <w:rPr>
                <w:rFonts w:ascii="Calibri" w:hAnsi="Calibri" w:cs="Calibri"/>
              </w:rPr>
            </w:pPr>
          </w:p>
        </w:tc>
        <w:tc>
          <w:tcPr>
            <w:tcW w:w="1674" w:type="dxa"/>
            <w:vAlign w:val="center"/>
          </w:tcPr>
          <w:p w14:paraId="7D6F70A7" w14:textId="77777777" w:rsidR="000774AB" w:rsidRPr="00CF2E7C" w:rsidRDefault="000774AB" w:rsidP="000774AB">
            <w:pPr>
              <w:rPr>
                <w:rFonts w:ascii="Calibri" w:hAnsi="Calibri" w:cs="Calibri"/>
              </w:rPr>
            </w:pPr>
          </w:p>
        </w:tc>
        <w:tc>
          <w:tcPr>
            <w:tcW w:w="1723" w:type="dxa"/>
          </w:tcPr>
          <w:p w14:paraId="3741C46F" w14:textId="1C5AC82F" w:rsidR="000774AB" w:rsidRPr="00CF2E7C" w:rsidRDefault="000774AB" w:rsidP="000774AB">
            <w:pPr>
              <w:rPr>
                <w:rFonts w:ascii="Calibri" w:hAnsi="Calibri" w:cs="Calibri"/>
              </w:rPr>
            </w:pPr>
            <w:r w:rsidRPr="00DB7CDA">
              <w:rPr>
                <w:rFonts w:ascii="Calibri" w:hAnsi="Calibri" w:cs="Calibri"/>
              </w:rPr>
              <w:t>X</w:t>
            </w:r>
          </w:p>
        </w:tc>
      </w:tr>
      <w:tr w:rsidR="000774AB" w:rsidRPr="00CF2E7C" w14:paraId="72E640B8" w14:textId="77777777" w:rsidTr="2B54E49A">
        <w:trPr>
          <w:trHeight w:val="300"/>
        </w:trPr>
        <w:tc>
          <w:tcPr>
            <w:tcW w:w="1065" w:type="dxa"/>
            <w:vAlign w:val="center"/>
          </w:tcPr>
          <w:p w14:paraId="7F99A32C" w14:textId="2CAC3F0F" w:rsidR="000774AB" w:rsidRPr="00CF2E7C" w:rsidRDefault="000774AB" w:rsidP="000774AB">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774AB" w:rsidRPr="00CF2E7C" w:rsidRDefault="000774AB" w:rsidP="000774AB">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774AB" w:rsidRPr="00CF2E7C" w:rsidRDefault="000774AB" w:rsidP="000774AB">
            <w:pPr>
              <w:rPr>
                <w:rFonts w:ascii="Calibri" w:hAnsi="Calibri" w:cs="Calibri"/>
              </w:rPr>
            </w:pPr>
          </w:p>
        </w:tc>
        <w:tc>
          <w:tcPr>
            <w:tcW w:w="1674" w:type="dxa"/>
            <w:vAlign w:val="center"/>
          </w:tcPr>
          <w:p w14:paraId="3EED072C" w14:textId="77777777" w:rsidR="000774AB" w:rsidRPr="00CF2E7C" w:rsidRDefault="000774AB" w:rsidP="000774AB">
            <w:pPr>
              <w:rPr>
                <w:rFonts w:ascii="Calibri" w:hAnsi="Calibri" w:cs="Calibri"/>
              </w:rPr>
            </w:pPr>
          </w:p>
        </w:tc>
        <w:tc>
          <w:tcPr>
            <w:tcW w:w="1723" w:type="dxa"/>
          </w:tcPr>
          <w:p w14:paraId="2638FA47" w14:textId="61BE7802" w:rsidR="000774AB" w:rsidRPr="00CF2E7C" w:rsidRDefault="000774AB" w:rsidP="000774AB">
            <w:pPr>
              <w:rPr>
                <w:rFonts w:ascii="Calibri" w:hAnsi="Calibri" w:cs="Calibri"/>
              </w:rPr>
            </w:pPr>
            <w:r w:rsidRPr="00DB7CDA">
              <w:rPr>
                <w:rFonts w:ascii="Calibri" w:hAnsi="Calibri" w:cs="Calibri"/>
              </w:rPr>
              <w:t>X</w:t>
            </w:r>
          </w:p>
        </w:tc>
      </w:tr>
      <w:tr w:rsidR="000774AB" w:rsidRPr="00CF2E7C" w14:paraId="323ABB7B" w14:textId="77777777" w:rsidTr="2B54E49A">
        <w:trPr>
          <w:trHeight w:val="300"/>
        </w:trPr>
        <w:tc>
          <w:tcPr>
            <w:tcW w:w="1065" w:type="dxa"/>
            <w:vAlign w:val="center"/>
          </w:tcPr>
          <w:p w14:paraId="064DC543" w14:textId="077A8FCC" w:rsidR="000774AB" w:rsidRPr="00CF2E7C" w:rsidRDefault="000774AB" w:rsidP="000774AB">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774AB" w:rsidRPr="00CF2E7C" w:rsidRDefault="000774AB" w:rsidP="000774AB">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774AB" w:rsidRPr="00CF2E7C" w:rsidRDefault="000774AB" w:rsidP="000774AB">
            <w:pPr>
              <w:rPr>
                <w:rFonts w:ascii="Calibri" w:hAnsi="Calibri" w:cs="Calibri"/>
              </w:rPr>
            </w:pPr>
          </w:p>
        </w:tc>
        <w:tc>
          <w:tcPr>
            <w:tcW w:w="1674" w:type="dxa"/>
            <w:vAlign w:val="center"/>
          </w:tcPr>
          <w:p w14:paraId="54E47F91" w14:textId="77777777" w:rsidR="000774AB" w:rsidRPr="00CF2E7C" w:rsidRDefault="000774AB" w:rsidP="000774AB">
            <w:pPr>
              <w:rPr>
                <w:rFonts w:ascii="Calibri" w:hAnsi="Calibri" w:cs="Calibri"/>
              </w:rPr>
            </w:pPr>
          </w:p>
        </w:tc>
        <w:tc>
          <w:tcPr>
            <w:tcW w:w="1723" w:type="dxa"/>
          </w:tcPr>
          <w:p w14:paraId="5CFEB38B" w14:textId="630EC2C2" w:rsidR="000774AB" w:rsidRPr="00CF2E7C" w:rsidRDefault="000774AB" w:rsidP="000774AB">
            <w:pPr>
              <w:rPr>
                <w:rFonts w:ascii="Calibri" w:hAnsi="Calibri" w:cs="Calibri"/>
              </w:rPr>
            </w:pPr>
            <w:r w:rsidRPr="00DB7CDA">
              <w:rPr>
                <w:rFonts w:ascii="Calibri" w:hAnsi="Calibri" w:cs="Calibri"/>
              </w:rPr>
              <w:t>X</w:t>
            </w:r>
          </w:p>
        </w:tc>
      </w:tr>
      <w:tr w:rsidR="00092534" w:rsidRPr="00CF2E7C" w14:paraId="71382A4F" w14:textId="77777777" w:rsidTr="2B54E49A">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50AF3865" w:rsidR="00092534" w:rsidRPr="00CF2E7C" w:rsidRDefault="000774AB" w:rsidP="00CF2E7C">
            <w:pPr>
              <w:rPr>
                <w:rFonts w:ascii="Calibri" w:hAnsi="Calibri" w:cs="Calibri"/>
              </w:rPr>
            </w:pPr>
            <w:r>
              <w:rPr>
                <w:rFonts w:ascii="Calibri" w:hAnsi="Calibri" w:cs="Calibri"/>
              </w:rPr>
              <w:t>X</w:t>
            </w: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2B54E49A">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2B54E49A">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62273858" w14:textId="77777777" w:rsidR="003201B6" w:rsidRPr="003201B6" w:rsidRDefault="003201B6" w:rsidP="003201B6">
            <w:pPr>
              <w:rPr>
                <w:rFonts w:ascii="Calibri" w:hAnsi="Calibri" w:cs="Calibri"/>
              </w:rPr>
            </w:pPr>
            <w:r w:rsidRPr="003201B6">
              <w:rPr>
                <w:rFonts w:ascii="Calibri" w:hAnsi="Calibri" w:cs="Calibri"/>
              </w:rPr>
              <w:t>CBAM specifically targets importers of goods from carbon-intensive sectors, including:</w:t>
            </w:r>
          </w:p>
          <w:p w14:paraId="15A96CE6" w14:textId="77777777" w:rsidR="003201B6" w:rsidRPr="003201B6" w:rsidRDefault="003201B6" w:rsidP="003201B6">
            <w:pPr>
              <w:numPr>
                <w:ilvl w:val="0"/>
                <w:numId w:val="52"/>
              </w:numPr>
              <w:rPr>
                <w:rFonts w:ascii="Calibri" w:hAnsi="Calibri" w:cs="Calibri"/>
              </w:rPr>
            </w:pPr>
            <w:r w:rsidRPr="003201B6">
              <w:rPr>
                <w:rFonts w:ascii="Calibri" w:hAnsi="Calibri" w:cs="Calibri"/>
              </w:rPr>
              <w:t>Iron and steel</w:t>
            </w:r>
          </w:p>
          <w:p w14:paraId="1FC380BC" w14:textId="77777777" w:rsidR="003201B6" w:rsidRPr="003201B6" w:rsidRDefault="003201B6" w:rsidP="003201B6">
            <w:pPr>
              <w:numPr>
                <w:ilvl w:val="0"/>
                <w:numId w:val="52"/>
              </w:numPr>
              <w:rPr>
                <w:rFonts w:ascii="Calibri" w:hAnsi="Calibri" w:cs="Calibri"/>
              </w:rPr>
            </w:pPr>
            <w:r w:rsidRPr="003201B6">
              <w:rPr>
                <w:rFonts w:ascii="Calibri" w:hAnsi="Calibri" w:cs="Calibri"/>
              </w:rPr>
              <w:t>Aluminium</w:t>
            </w:r>
          </w:p>
          <w:p w14:paraId="2A2E6339" w14:textId="77777777" w:rsidR="003201B6" w:rsidRPr="003201B6" w:rsidRDefault="003201B6" w:rsidP="003201B6">
            <w:pPr>
              <w:numPr>
                <w:ilvl w:val="0"/>
                <w:numId w:val="52"/>
              </w:numPr>
              <w:rPr>
                <w:rFonts w:ascii="Calibri" w:hAnsi="Calibri" w:cs="Calibri"/>
              </w:rPr>
            </w:pPr>
            <w:r w:rsidRPr="003201B6">
              <w:rPr>
                <w:rFonts w:ascii="Calibri" w:hAnsi="Calibri" w:cs="Calibri"/>
              </w:rPr>
              <w:t>Cement</w:t>
            </w:r>
          </w:p>
          <w:p w14:paraId="50A13AA7" w14:textId="77777777" w:rsidR="003201B6" w:rsidRPr="003201B6" w:rsidRDefault="003201B6" w:rsidP="003201B6">
            <w:pPr>
              <w:numPr>
                <w:ilvl w:val="0"/>
                <w:numId w:val="52"/>
              </w:numPr>
              <w:rPr>
                <w:rFonts w:ascii="Calibri" w:hAnsi="Calibri" w:cs="Calibri"/>
              </w:rPr>
            </w:pPr>
            <w:r w:rsidRPr="003201B6">
              <w:rPr>
                <w:rFonts w:ascii="Calibri" w:hAnsi="Calibri" w:cs="Calibri"/>
              </w:rPr>
              <w:t>Fertilizers</w:t>
            </w:r>
          </w:p>
          <w:p w14:paraId="5453F44E" w14:textId="77777777" w:rsidR="003201B6" w:rsidRPr="003201B6" w:rsidRDefault="003201B6" w:rsidP="003201B6">
            <w:pPr>
              <w:numPr>
                <w:ilvl w:val="0"/>
                <w:numId w:val="52"/>
              </w:numPr>
              <w:rPr>
                <w:rFonts w:ascii="Calibri" w:hAnsi="Calibri" w:cs="Calibri"/>
              </w:rPr>
            </w:pPr>
            <w:r w:rsidRPr="003201B6">
              <w:rPr>
                <w:rFonts w:ascii="Calibri" w:hAnsi="Calibri" w:cs="Calibri"/>
              </w:rPr>
              <w:t>Hydrogen</w:t>
            </w:r>
          </w:p>
          <w:p w14:paraId="33D033CC" w14:textId="77777777" w:rsidR="003201B6" w:rsidRPr="003201B6" w:rsidRDefault="003201B6" w:rsidP="003201B6">
            <w:pPr>
              <w:numPr>
                <w:ilvl w:val="0"/>
                <w:numId w:val="52"/>
              </w:numPr>
              <w:rPr>
                <w:rFonts w:ascii="Calibri" w:hAnsi="Calibri" w:cs="Calibri"/>
              </w:rPr>
            </w:pPr>
            <w:r w:rsidRPr="003201B6">
              <w:rPr>
                <w:rFonts w:ascii="Calibri" w:hAnsi="Calibri" w:cs="Calibri"/>
              </w:rPr>
              <w:t>Electricity</w:t>
            </w:r>
          </w:p>
          <w:p w14:paraId="11743748" w14:textId="449B3AA2" w:rsidR="00092534" w:rsidRPr="00CF2E7C" w:rsidRDefault="3E897E03" w:rsidP="00CF2E7C">
            <w:pPr>
              <w:rPr>
                <w:rFonts w:ascii="Calibri" w:hAnsi="Calibri" w:cs="Calibri"/>
              </w:rPr>
            </w:pPr>
            <w:r w:rsidRPr="2B54E49A">
              <w:rPr>
                <w:rFonts w:ascii="Calibri" w:hAnsi="Calibri" w:cs="Calibri"/>
              </w:rPr>
              <w:t>These sectors fall mainly under manufacturing, mining/quarrying, and electricity supply, as defined by NACE Rev. 2 classifications.</w:t>
            </w:r>
          </w:p>
        </w:tc>
      </w:tr>
      <w:tr w:rsidR="00092534" w:rsidRPr="00CF2E7C" w14:paraId="564FCBE7" w14:textId="77777777" w:rsidTr="2B54E49A">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lastRenderedPageBreak/>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2B54E49A">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37168712" w:rsidR="00092534" w:rsidRPr="00CF2E7C" w:rsidRDefault="00284738" w:rsidP="00284738">
            <w:pPr>
              <w:rPr>
                <w:rFonts w:ascii="Calibri" w:hAnsi="Calibri" w:cs="Calibri"/>
              </w:rPr>
            </w:pPr>
            <w:r w:rsidRPr="00284738">
              <w:rPr>
                <w:rFonts w:ascii="Calibri" w:hAnsi="Calibri" w:cs="Calibri"/>
              </w:rPr>
              <w:t>The defining factor is not who the entity is, but what it does</w:t>
            </w:r>
            <w:r>
              <w:rPr>
                <w:rFonts w:ascii="Calibri" w:hAnsi="Calibri" w:cs="Calibri"/>
              </w:rPr>
              <w:t xml:space="preserve">: </w:t>
            </w:r>
            <w:r w:rsidRPr="00284738">
              <w:rPr>
                <w:rFonts w:ascii="Calibri" w:hAnsi="Calibri" w:cs="Calibri"/>
              </w:rPr>
              <w:t>namely, whether it imports covered goods. All importers are treated equally under the Regulation, regardless of their corporate or institutional nature.</w:t>
            </w:r>
          </w:p>
        </w:tc>
      </w:tr>
      <w:tr w:rsidR="00092534" w:rsidRPr="00CF2E7C" w14:paraId="51E958C4" w14:textId="77777777" w:rsidTr="2B54E49A">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2B54E49A">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2B54E49A">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2B54E49A">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2B54E49A">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2B54E49A">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2B54E49A">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2B54E49A">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2D1A02AA" w:rsidR="00092534" w:rsidRPr="00CF2E7C" w:rsidRDefault="0600E940" w:rsidP="00CF2E7C">
            <w:pPr>
              <w:rPr>
                <w:rFonts w:ascii="Calibri" w:hAnsi="Calibri" w:cs="Calibri"/>
              </w:rPr>
            </w:pPr>
            <w:r w:rsidRPr="2B54E49A">
              <w:rPr>
                <w:rFonts w:ascii="Calibri" w:hAnsi="Calibri" w:cs="Calibri"/>
              </w:rPr>
              <w:t>Compliance is mandatory for any entity that imports CBAM goods into the EU customs territory, unless a specific exemption applies (e.g. de minim</w:t>
            </w:r>
            <w:r w:rsidR="0347B068" w:rsidRPr="2B54E49A">
              <w:rPr>
                <w:rFonts w:ascii="Calibri" w:hAnsi="Calibri" w:cs="Calibri"/>
              </w:rPr>
              <w:t>u</w:t>
            </w:r>
            <w:r w:rsidRPr="2B54E49A">
              <w:rPr>
                <w:rFonts w:ascii="Calibri" w:hAnsi="Calibri" w:cs="Calibri"/>
              </w:rPr>
              <w:t>s exemption under Article 2(3(a) for consignments valued below the threshold in Article 23 of Regulation (EC) No 1186/2009; currently EUR 150).</w:t>
            </w:r>
          </w:p>
        </w:tc>
      </w:tr>
      <w:tr w:rsidR="00092534" w:rsidRPr="00CF2E7C" w14:paraId="72491331" w14:textId="77777777" w:rsidTr="2B54E49A">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2B54E49A">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06A5CA12" w:rsidR="00092534" w:rsidRPr="00CF2E7C" w:rsidRDefault="00D777DB" w:rsidP="00CF2E7C">
            <w:pPr>
              <w:rPr>
                <w:rFonts w:ascii="Calibri" w:hAnsi="Calibri" w:cs="Calibri"/>
              </w:rPr>
            </w:pPr>
            <w:r>
              <w:rPr>
                <w:rFonts w:ascii="Calibri" w:hAnsi="Calibri" w:cs="Calibri"/>
              </w:rPr>
              <w:t>X</w:t>
            </w:r>
          </w:p>
        </w:tc>
      </w:tr>
      <w:tr w:rsidR="00092534" w:rsidRPr="00CF2E7C" w14:paraId="00E55278" w14:textId="77777777" w:rsidTr="2B54E49A">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2B54E49A">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2B54E49A">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2B54E49A">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2B54E49A">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2B54E49A">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lastRenderedPageBreak/>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2447F565" w:rsidR="00DB1E72" w:rsidRPr="00CF2E7C" w:rsidRDefault="004C2420" w:rsidP="00CF2E7C">
            <w:pPr>
              <w:rPr>
                <w:rFonts w:ascii="Calibri" w:hAnsi="Calibri" w:cs="Calibri"/>
              </w:rPr>
            </w:pPr>
            <w:r>
              <w:rPr>
                <w:rFonts w:ascii="Calibri" w:hAnsi="Calibri" w:cs="Calibri"/>
              </w:rPr>
              <w:t>X</w:t>
            </w:r>
          </w:p>
        </w:tc>
      </w:tr>
      <w:tr w:rsidR="00DB1E72" w:rsidRPr="00CF2E7C" w14:paraId="2E2F02C2" w14:textId="77777777" w:rsidTr="2B54E49A">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2B54E49A">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2B54E49A">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2B54E49A">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2B54E49A">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2B54E49A">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2B54E49A">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2B54E49A">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2B54E49A">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9DDBBC" w:rsidR="00DB1E72" w:rsidRPr="00CF2E7C" w:rsidRDefault="004C2420" w:rsidP="00CF2E7C">
            <w:pPr>
              <w:rPr>
                <w:rFonts w:ascii="Calibri" w:hAnsi="Calibri" w:cs="Calibri"/>
              </w:rPr>
            </w:pPr>
            <w:r>
              <w:rPr>
                <w:rFonts w:ascii="Calibri" w:hAnsi="Calibri" w:cs="Calibri"/>
              </w:rPr>
              <w:t>X</w:t>
            </w:r>
          </w:p>
        </w:tc>
      </w:tr>
      <w:tr w:rsidR="00DB1E72" w:rsidRPr="00CF2E7C" w14:paraId="58AC370D" w14:textId="77777777" w:rsidTr="2B54E49A">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2B54E49A">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11A64A25" w14:textId="77777777" w:rsidR="00547E6C" w:rsidRPr="00547E6C" w:rsidRDefault="00547E6C" w:rsidP="00547E6C">
            <w:pPr>
              <w:rPr>
                <w:rFonts w:ascii="Calibri" w:hAnsi="Calibri" w:cs="Calibri"/>
              </w:rPr>
            </w:pPr>
            <w:r w:rsidRPr="00547E6C">
              <w:rPr>
                <w:rFonts w:ascii="Calibri" w:hAnsi="Calibri" w:cs="Calibri"/>
              </w:rPr>
              <w:t>The core financial penalty under CBAM applies when an authorised CBAM declarant fails to surrender a sufficient number of CBAM certificates to match the embedded emissions of goods imported into the EU in a given year. In such cases, Article 26(2) requires that the competent authority impose a penalty that mirrors the well-established sanction under the EU Emissions Trading System (EU ETS).</w:t>
            </w:r>
          </w:p>
          <w:p w14:paraId="7BC96DF4" w14:textId="33413726" w:rsidR="00547E6C" w:rsidRDefault="00547E6C" w:rsidP="00547E6C">
            <w:pPr>
              <w:rPr>
                <w:rFonts w:ascii="Calibri" w:hAnsi="Calibri" w:cs="Calibri"/>
              </w:rPr>
            </w:pPr>
            <w:r w:rsidRPr="00547E6C">
              <w:rPr>
                <w:rFonts w:ascii="Calibri" w:hAnsi="Calibri" w:cs="Calibri"/>
              </w:rPr>
              <w:t>Specifically, the penalty is calculated according to Article 16(3) and (4) of Directive 2003/87/EC, which imposes a fine of EUR 100 per tonne of CO₂ equivalent for which no certificate has been surrendered</w:t>
            </w:r>
            <w:r w:rsidR="005C29D5">
              <w:rPr>
                <w:rFonts w:ascii="Calibri" w:hAnsi="Calibri" w:cs="Calibri"/>
              </w:rPr>
              <w:t xml:space="preserve"> - </w:t>
            </w:r>
            <w:r w:rsidRPr="00547E6C">
              <w:rPr>
                <w:rFonts w:ascii="Calibri" w:hAnsi="Calibri" w:cs="Calibri"/>
              </w:rPr>
              <w:t>adjusted over time for inflation. Importantly, paying the penalty does not release the declarant from the obligation to surrender the missing certificates. The entity remains liable for the full compliance deficit.</w:t>
            </w:r>
            <w:r w:rsidR="005C29D5">
              <w:rPr>
                <w:rFonts w:ascii="Calibri" w:hAnsi="Calibri" w:cs="Calibri"/>
              </w:rPr>
              <w:t xml:space="preserve"> </w:t>
            </w:r>
            <w:r w:rsidRPr="00547E6C">
              <w:rPr>
                <w:rFonts w:ascii="Calibri" w:hAnsi="Calibri" w:cs="Calibri"/>
              </w:rPr>
              <w:t>This alignment with the EU ETS ensures that the price signal within the CBAM system remains robust and avoids perverse incentives to simply “pay to pollute.”</w:t>
            </w:r>
          </w:p>
          <w:p w14:paraId="79822457" w14:textId="4C579EA3" w:rsidR="00F61C2C" w:rsidRPr="00F61C2C" w:rsidRDefault="00F61C2C" w:rsidP="00F61C2C">
            <w:pPr>
              <w:rPr>
                <w:rFonts w:ascii="Calibri" w:hAnsi="Calibri" w:cs="Calibri"/>
              </w:rPr>
            </w:pPr>
            <w:r w:rsidRPr="00F61C2C">
              <w:rPr>
                <w:rFonts w:ascii="Calibri" w:hAnsi="Calibri" w:cs="Calibri"/>
              </w:rPr>
              <w:t>A more severe sanction applies when goods are imported by a person who is not an authorised CBAM declarant</w:t>
            </w:r>
            <w:r>
              <w:rPr>
                <w:rFonts w:ascii="Calibri" w:hAnsi="Calibri" w:cs="Calibri"/>
              </w:rPr>
              <w:t xml:space="preserve"> - </w:t>
            </w:r>
            <w:r w:rsidRPr="00F61C2C">
              <w:rPr>
                <w:rFonts w:ascii="Calibri" w:hAnsi="Calibri" w:cs="Calibri"/>
              </w:rPr>
              <w:t>i.e. someone who circumvents the system entirely and does not comply with the registration, reporting, and certificate surrender requirements under CBAM.</w:t>
            </w:r>
            <w:r>
              <w:rPr>
                <w:rFonts w:ascii="Calibri" w:hAnsi="Calibri" w:cs="Calibri"/>
              </w:rPr>
              <w:t xml:space="preserve"> </w:t>
            </w:r>
            <w:r w:rsidRPr="00F61C2C">
              <w:rPr>
                <w:rFonts w:ascii="Calibri" w:hAnsi="Calibri" w:cs="Calibri"/>
              </w:rPr>
              <w:t>According to Article 26(3), in such cases the competent authority must impose a penalty that is not only effective and proportionate, but also higher than the standard penalty applicable to authorised declarants. This heightened sanction reflects the seriousness of circumventing the entire CBAM regime and is intended to strongly deter deliberate non-compliance.</w:t>
            </w:r>
          </w:p>
          <w:p w14:paraId="0E4DB583" w14:textId="768E189A" w:rsidR="00111ABB" w:rsidRPr="00111ABB" w:rsidRDefault="6FE99E2C" w:rsidP="00111ABB">
            <w:pPr>
              <w:rPr>
                <w:rFonts w:ascii="Calibri" w:hAnsi="Calibri" w:cs="Calibri"/>
              </w:rPr>
            </w:pPr>
            <w:r w:rsidRPr="2B54E49A">
              <w:rPr>
                <w:rFonts w:ascii="Calibri" w:hAnsi="Calibri" w:cs="Calibri"/>
              </w:rPr>
              <w:t>In addition to monetary penalties, the CBAM Regulation also imposes a structural restriction that functions as a sanction: only authorised CBAM declarants are permitted to import goods covered by CBAM into the EU. This is laid down in Article 4, which states unambiguously</w:t>
            </w:r>
            <w:r w:rsidR="41221851" w:rsidRPr="2B54E49A">
              <w:rPr>
                <w:rFonts w:ascii="Calibri" w:hAnsi="Calibri" w:cs="Calibri"/>
              </w:rPr>
              <w:t xml:space="preserve"> that </w:t>
            </w:r>
            <w:r w:rsidR="41221851" w:rsidRPr="2B54E49A">
              <w:rPr>
                <w:rFonts w:ascii="Calibri" w:hAnsi="Calibri" w:cs="Calibri"/>
                <w:i/>
                <w:iCs/>
              </w:rPr>
              <w:t>“</w:t>
            </w:r>
            <w:r w:rsidR="41221851" w:rsidRPr="2B54E49A">
              <w:rPr>
                <w:rFonts w:ascii="Calibri" w:hAnsi="Calibri" w:cs="Calibri"/>
              </w:rPr>
              <w:t>goods shall be imported into the customs territory of the Union only by an authorised CBAM declarant.</w:t>
            </w:r>
            <w:r w:rsidR="41221851" w:rsidRPr="2B54E49A">
              <w:rPr>
                <w:rFonts w:ascii="Calibri" w:hAnsi="Calibri" w:cs="Calibri"/>
                <w:i/>
                <w:iCs/>
              </w:rPr>
              <w:t>”</w:t>
            </w:r>
          </w:p>
          <w:p w14:paraId="31DEB027" w14:textId="1DB6C694" w:rsidR="009F4AF4" w:rsidRPr="009F4AF4" w:rsidRDefault="009F4AF4" w:rsidP="009F4AF4">
            <w:pPr>
              <w:rPr>
                <w:rFonts w:ascii="Calibri" w:hAnsi="Calibri" w:cs="Calibri"/>
              </w:rPr>
            </w:pPr>
            <w:r w:rsidRPr="009F4AF4">
              <w:rPr>
                <w:rFonts w:ascii="Calibri" w:hAnsi="Calibri" w:cs="Calibri"/>
              </w:rPr>
              <w:t xml:space="preserve">This means that customs authorities are required to deny the release of CBAM goods for free circulation if the importer has not obtained authorised declarant status under Article 5. In practice, this amounts to a prohibition on importation for non-compliant actors and serves as </w:t>
            </w:r>
            <w:r w:rsidRPr="009F4AF4">
              <w:rPr>
                <w:rFonts w:ascii="Calibri" w:hAnsi="Calibri" w:cs="Calibri"/>
              </w:rPr>
              <w:lastRenderedPageBreak/>
              <w:t>a powerful tool to ensure that all economic operators are subject to the CBAM regime before placing goods on the EU market.</w:t>
            </w:r>
          </w:p>
          <w:p w14:paraId="7CC5C002" w14:textId="49C644B7" w:rsidR="00DB1E72" w:rsidRPr="00CF2E7C" w:rsidRDefault="41221851" w:rsidP="00CF2E7C">
            <w:pPr>
              <w:rPr>
                <w:rFonts w:ascii="Calibri" w:hAnsi="Calibri" w:cs="Calibri"/>
              </w:rPr>
            </w:pPr>
            <w:r w:rsidRPr="2B54E49A">
              <w:rPr>
                <w:rFonts w:ascii="Calibri" w:hAnsi="Calibri" w:cs="Calibri"/>
              </w:rPr>
              <w:t>The Regulation further integrates CBAM risks into customs controls and common risk criteria under the Union Customs Code (Recital 43), reinforcing the practical enforceability of this restriction at the border.</w:t>
            </w:r>
          </w:p>
        </w:tc>
      </w:tr>
      <w:tr w:rsidR="00092534" w:rsidRPr="00CF2E7C" w14:paraId="26A70B46" w14:textId="77777777" w:rsidTr="2B54E49A">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2B54E49A">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2B54E49A">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6D77E50" w:rsidR="00092534" w:rsidRPr="00CF2E7C" w:rsidRDefault="0038213D" w:rsidP="00CF2E7C">
            <w:pPr>
              <w:rPr>
                <w:rFonts w:ascii="Calibri" w:hAnsi="Calibri" w:cs="Calibri"/>
              </w:rPr>
            </w:pPr>
            <w:r>
              <w:rPr>
                <w:rFonts w:ascii="Calibri" w:hAnsi="Calibri" w:cs="Calibri"/>
              </w:rPr>
              <w:t>X</w:t>
            </w:r>
          </w:p>
        </w:tc>
      </w:tr>
      <w:tr w:rsidR="00092534" w:rsidRPr="00CF2E7C" w14:paraId="2E3A797A" w14:textId="77777777" w:rsidTr="2B54E49A">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2B54E49A">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54084F19" w14:textId="3C41686C" w:rsidR="001764ED" w:rsidRPr="001764ED" w:rsidRDefault="4E1CB3EE" w:rsidP="001764ED">
            <w:pPr>
              <w:rPr>
                <w:rFonts w:ascii="Calibri" w:hAnsi="Calibri" w:cs="Calibri"/>
              </w:rPr>
            </w:pPr>
            <w:r w:rsidRPr="2B54E49A">
              <w:rPr>
                <w:rFonts w:ascii="Calibri" w:hAnsi="Calibri" w:cs="Calibri"/>
              </w:rPr>
              <w:t>Implementation is currently taking place during the transitional phase, which began on 1 October 2023 and will run until 31 December 2025</w:t>
            </w:r>
            <w:r w:rsidR="6D56415D" w:rsidRPr="2B54E49A">
              <w:rPr>
                <w:rFonts w:ascii="Calibri" w:hAnsi="Calibri" w:cs="Calibri"/>
              </w:rPr>
              <w:t xml:space="preserve"> (</w:t>
            </w:r>
            <w:r w:rsidRPr="2B54E49A">
              <w:rPr>
                <w:rFonts w:ascii="Calibri" w:hAnsi="Calibri" w:cs="Calibri"/>
              </w:rPr>
              <w:t>Article 35</w:t>
            </w:r>
            <w:r w:rsidR="7DA020C5" w:rsidRPr="2B54E49A">
              <w:rPr>
                <w:rFonts w:ascii="Calibri" w:hAnsi="Calibri" w:cs="Calibri"/>
              </w:rPr>
              <w:t>)</w:t>
            </w:r>
            <w:r w:rsidRPr="2B54E49A">
              <w:rPr>
                <w:rFonts w:ascii="Calibri" w:hAnsi="Calibri" w:cs="Calibri"/>
              </w:rPr>
              <w:t>. During this period, importers of CBAM-covered goods are required to submit quarterly reports detailing the quantity of goods imported, the embedded greenhouse gas emissions, and any carbon price paid in the country of origin. The first quarterly reports covering Q4 2023 have already been submitted, and the reporting cycle is now fully operational.</w:t>
            </w:r>
          </w:p>
          <w:p w14:paraId="5DCF58BB" w14:textId="77777777" w:rsidR="001764ED" w:rsidRPr="001764ED" w:rsidRDefault="001764ED" w:rsidP="001764ED">
            <w:pPr>
              <w:rPr>
                <w:rFonts w:ascii="Calibri" w:hAnsi="Calibri" w:cs="Calibri"/>
              </w:rPr>
            </w:pPr>
            <w:r w:rsidRPr="001764ED">
              <w:rPr>
                <w:rFonts w:ascii="Calibri" w:hAnsi="Calibri" w:cs="Calibri"/>
              </w:rPr>
              <w:t>In support of this process, the European Commission has established the CBAM Registry, a centralised digital system used for registration, reporting, and coordination between importers, competent authorities, and the Commission itself (Article 14). The Commission has also adopted implementing acts and detailed guidance to operationalise reporting obligations and support declarants and national authorities in complying with the new rules.</w:t>
            </w:r>
          </w:p>
          <w:p w14:paraId="4E9BC062" w14:textId="1980E5AD" w:rsidR="00092534" w:rsidRPr="00CF2E7C" w:rsidRDefault="4E1CB3EE" w:rsidP="00CF2E7C">
            <w:pPr>
              <w:rPr>
                <w:rFonts w:ascii="Calibri" w:hAnsi="Calibri" w:cs="Calibri"/>
              </w:rPr>
            </w:pPr>
            <w:r w:rsidRPr="2B54E49A">
              <w:rPr>
                <w:rFonts w:ascii="Calibri" w:hAnsi="Calibri" w:cs="Calibri"/>
              </w:rPr>
              <w:t>Additionally, national competent authorities have been formally designated by each Member State pursuant to Article 11 and are actively supervising compliance at the national level.</w:t>
            </w:r>
          </w:p>
        </w:tc>
      </w:tr>
      <w:tr w:rsidR="00092534" w:rsidRPr="00CF2E7C" w14:paraId="18829E80" w14:textId="77777777" w:rsidTr="2B54E49A">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2B54E49A">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5899ACF0" w:rsidR="00092534" w:rsidRPr="00CF2E7C" w:rsidRDefault="00051B16" w:rsidP="00CF2E7C">
            <w:pPr>
              <w:rPr>
                <w:rFonts w:ascii="Calibri" w:hAnsi="Calibri" w:cs="Calibri"/>
              </w:rPr>
            </w:pPr>
            <w:r>
              <w:rPr>
                <w:rFonts w:ascii="Calibri" w:hAnsi="Calibri" w:cs="Calibri"/>
              </w:rPr>
              <w:t>X</w:t>
            </w:r>
          </w:p>
        </w:tc>
      </w:tr>
      <w:tr w:rsidR="00092534" w:rsidRPr="00CF2E7C" w14:paraId="48A2A7B9" w14:textId="77777777" w:rsidTr="2B54E49A">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2B54E49A">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2B54E49A">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2B54E49A">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2B54E49A">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5489DD8" w:rsidR="00092534" w:rsidRPr="00CF2E7C" w:rsidRDefault="00833636" w:rsidP="00CF2E7C">
            <w:pPr>
              <w:rPr>
                <w:rFonts w:ascii="Calibri" w:hAnsi="Calibri" w:cs="Calibri"/>
              </w:rPr>
            </w:pPr>
            <w:r>
              <w:rPr>
                <w:rFonts w:ascii="Calibri" w:hAnsi="Calibri" w:cs="Calibri"/>
              </w:rPr>
              <w:t>X</w:t>
            </w:r>
          </w:p>
        </w:tc>
      </w:tr>
      <w:tr w:rsidR="00092534" w:rsidRPr="00CF2E7C" w14:paraId="36ADF83E" w14:textId="77777777" w:rsidTr="2B54E49A">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2B54E49A">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2B54E49A">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2B54E49A">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4CA5F2E" w:rsidR="00D46B07" w:rsidRPr="00CF2E7C" w:rsidRDefault="001C76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2B54E49A">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22B3EE2" w14:textId="4AC38109" w:rsidR="003F5FD9" w:rsidRPr="003F5FD9" w:rsidRDefault="4A5D034F" w:rsidP="003F5FD9">
            <w:pPr>
              <w:textAlignment w:val="baseline"/>
              <w:rPr>
                <w:rFonts w:ascii="Calibri" w:eastAsia="Times New Roman" w:hAnsi="Calibri" w:cs="Calibri"/>
                <w:kern w:val="0"/>
                <w:lang w:eastAsia="en-GB"/>
                <w14:ligatures w14:val="none"/>
              </w:rPr>
            </w:pPr>
            <w:r w:rsidRPr="003F5FD9">
              <w:rPr>
                <w:rFonts w:ascii="Calibri" w:eastAsia="Times New Roman" w:hAnsi="Calibri" w:cs="Calibri"/>
                <w:kern w:val="0"/>
                <w:lang w:eastAsia="en-GB"/>
                <w14:ligatures w14:val="none"/>
              </w:rPr>
              <w:t>CBAM does not deal with carbon credits in the sense of offsets, project-based reductions</w:t>
            </w:r>
            <w:r w:rsidR="33569512" w:rsidRPr="003F5FD9">
              <w:rPr>
                <w:rFonts w:ascii="Calibri" w:eastAsia="Times New Roman" w:hAnsi="Calibri" w:cs="Calibri"/>
                <w:kern w:val="0"/>
                <w:lang w:eastAsia="en-GB"/>
                <w14:ligatures w14:val="none"/>
              </w:rPr>
              <w:t xml:space="preserve"> </w:t>
            </w:r>
            <w:r w:rsidRPr="003F5FD9">
              <w:rPr>
                <w:rFonts w:ascii="Calibri" w:eastAsia="Times New Roman" w:hAnsi="Calibri" w:cs="Calibri"/>
                <w:kern w:val="0"/>
                <w:lang w:eastAsia="en-GB"/>
                <w14:ligatures w14:val="none"/>
              </w:rPr>
              <w:t xml:space="preserve">or marketable carbon units under voluntary or compliance crediting mechanisms. It is not linked to Article 6 of the Paris </w:t>
            </w:r>
            <w:r w:rsidR="2CFA6DBB" w:rsidRPr="003F5FD9">
              <w:rPr>
                <w:rFonts w:ascii="Calibri" w:eastAsia="Times New Roman" w:hAnsi="Calibri" w:cs="Calibri"/>
                <w:kern w:val="0"/>
                <w:lang w:eastAsia="en-GB"/>
                <w14:ligatures w14:val="none"/>
              </w:rPr>
              <w:t>Agreement and</w:t>
            </w:r>
            <w:r w:rsidRPr="003F5FD9">
              <w:rPr>
                <w:rFonts w:ascii="Calibri" w:eastAsia="Times New Roman" w:hAnsi="Calibri" w:cs="Calibri"/>
                <w:kern w:val="0"/>
                <w:lang w:eastAsia="en-GB"/>
                <w14:ligatures w14:val="none"/>
              </w:rPr>
              <w:t xml:space="preserve"> does not create or govern tradable carbon credits.</w:t>
            </w:r>
          </w:p>
          <w:p w14:paraId="49A799E3" w14:textId="0B3B935E" w:rsidR="003F5FD9" w:rsidRPr="003F5FD9" w:rsidRDefault="003F5FD9" w:rsidP="00AE278C">
            <w:pPr>
              <w:tabs>
                <w:tab w:val="num" w:pos="720"/>
              </w:tabs>
              <w:textAlignment w:val="baseline"/>
              <w:rPr>
                <w:rFonts w:ascii="Calibri" w:eastAsia="Times New Roman" w:hAnsi="Calibri" w:cs="Calibri"/>
                <w:kern w:val="0"/>
                <w:lang w:eastAsia="en-GB"/>
                <w14:ligatures w14:val="none"/>
              </w:rPr>
            </w:pPr>
            <w:r w:rsidRPr="003F5FD9">
              <w:rPr>
                <w:rFonts w:ascii="Calibri" w:eastAsia="Times New Roman" w:hAnsi="Calibri" w:cs="Calibri"/>
                <w:kern w:val="0"/>
                <w:lang w:eastAsia="en-GB"/>
                <w14:ligatures w14:val="none"/>
              </w:rPr>
              <w:lastRenderedPageBreak/>
              <w:t>Instead, the CBAM establishes a border levy based on embedded emissions, enforced through the purchase and surrender of CBAM certificates. These certificates are</w:t>
            </w:r>
            <w:r w:rsidR="00AE278C">
              <w:rPr>
                <w:rFonts w:ascii="Calibri" w:eastAsia="Times New Roman" w:hAnsi="Calibri" w:cs="Calibri"/>
                <w:kern w:val="0"/>
                <w:lang w:eastAsia="en-GB"/>
                <w14:ligatures w14:val="none"/>
              </w:rPr>
              <w:t xml:space="preserve"> n</w:t>
            </w:r>
            <w:r w:rsidRPr="003F5FD9">
              <w:rPr>
                <w:rFonts w:ascii="Calibri" w:eastAsia="Times New Roman" w:hAnsi="Calibri" w:cs="Calibri"/>
                <w:kern w:val="0"/>
                <w:lang w:eastAsia="en-GB"/>
                <w14:ligatures w14:val="none"/>
              </w:rPr>
              <w:t>ot tradable on carbon markets</w:t>
            </w:r>
            <w:r w:rsidR="00AE278C">
              <w:rPr>
                <w:rFonts w:ascii="Calibri" w:eastAsia="Times New Roman" w:hAnsi="Calibri" w:cs="Calibri"/>
                <w:kern w:val="0"/>
                <w:lang w:eastAsia="en-GB"/>
                <w14:ligatures w14:val="none"/>
              </w:rPr>
              <w:t>; n</w:t>
            </w:r>
            <w:r w:rsidRPr="003F5FD9">
              <w:rPr>
                <w:rFonts w:ascii="Calibri" w:eastAsia="Times New Roman" w:hAnsi="Calibri" w:cs="Calibri"/>
                <w:kern w:val="0"/>
                <w:lang w:eastAsia="en-GB"/>
                <w14:ligatures w14:val="none"/>
              </w:rPr>
              <w:t>ot equivalent to EU ETS allowances</w:t>
            </w:r>
            <w:r w:rsidR="00AE278C">
              <w:rPr>
                <w:rFonts w:ascii="Calibri" w:eastAsia="Times New Roman" w:hAnsi="Calibri" w:cs="Calibri"/>
                <w:kern w:val="0"/>
                <w:lang w:eastAsia="en-GB"/>
                <w14:ligatures w14:val="none"/>
              </w:rPr>
              <w:t>; n</w:t>
            </w:r>
            <w:r w:rsidRPr="003F5FD9">
              <w:rPr>
                <w:rFonts w:ascii="Calibri" w:eastAsia="Times New Roman" w:hAnsi="Calibri" w:cs="Calibri"/>
                <w:kern w:val="0"/>
                <w:lang w:eastAsia="en-GB"/>
                <w14:ligatures w14:val="none"/>
              </w:rPr>
              <w:t>ot transferable between importers</w:t>
            </w:r>
            <w:r w:rsidR="00AE278C">
              <w:rPr>
                <w:rFonts w:ascii="Calibri" w:eastAsia="Times New Roman" w:hAnsi="Calibri" w:cs="Calibri"/>
                <w:kern w:val="0"/>
                <w:lang w:eastAsia="en-GB"/>
                <w14:ligatures w14:val="none"/>
              </w:rPr>
              <w:t xml:space="preserve"> and v</w:t>
            </w:r>
            <w:r w:rsidRPr="003F5FD9">
              <w:rPr>
                <w:rFonts w:ascii="Calibri" w:eastAsia="Times New Roman" w:hAnsi="Calibri" w:cs="Calibri"/>
                <w:kern w:val="0"/>
                <w:lang w:eastAsia="en-GB"/>
                <w14:ligatures w14:val="none"/>
              </w:rPr>
              <w:t>alid only within a specific timeframe and non-bankable beyond that</w:t>
            </w:r>
          </w:p>
          <w:p w14:paraId="3DC783CA" w14:textId="77777777" w:rsidR="003F5FD9" w:rsidRPr="003F5FD9" w:rsidRDefault="003F5FD9" w:rsidP="003F5FD9">
            <w:pPr>
              <w:textAlignment w:val="baseline"/>
              <w:rPr>
                <w:rFonts w:ascii="Calibri" w:eastAsia="Times New Roman" w:hAnsi="Calibri" w:cs="Calibri"/>
                <w:kern w:val="0"/>
                <w:lang w:eastAsia="en-GB"/>
                <w14:ligatures w14:val="none"/>
              </w:rPr>
            </w:pPr>
            <w:r w:rsidRPr="003F5FD9">
              <w:rPr>
                <w:rFonts w:ascii="Calibri" w:eastAsia="Times New Roman" w:hAnsi="Calibri" w:cs="Calibri"/>
                <w:kern w:val="0"/>
                <w:lang w:eastAsia="en-GB"/>
                <w14:ligatures w14:val="none"/>
              </w:rPr>
              <w:t>Their purpose is purely regulatory and fiscal: to equalise the carbon cost of imported goods with that of domestically produced goods covered by the EU ETS.</w:t>
            </w:r>
          </w:p>
          <w:p w14:paraId="302A1807" w14:textId="7558503C" w:rsidR="003F5FD9" w:rsidRPr="003F5FD9" w:rsidRDefault="4A5D034F" w:rsidP="003F5FD9">
            <w:pPr>
              <w:textAlignment w:val="baseline"/>
              <w:rPr>
                <w:rFonts w:ascii="Calibri" w:eastAsia="Times New Roman" w:hAnsi="Calibri" w:cs="Calibri"/>
                <w:kern w:val="0"/>
                <w:lang w:eastAsia="en-GB"/>
                <w14:ligatures w14:val="none"/>
              </w:rPr>
            </w:pPr>
            <w:r w:rsidRPr="003F5FD9">
              <w:rPr>
                <w:rFonts w:ascii="Calibri" w:eastAsia="Times New Roman" w:hAnsi="Calibri" w:cs="Calibri"/>
                <w:kern w:val="0"/>
                <w:lang w:eastAsia="en-GB"/>
                <w14:ligatures w14:val="none"/>
              </w:rPr>
              <w:t>In short, CBAM does not operate as a carbon crediting mechanism; its goal is to prevent carbon leakage by mirroring the EU carbon price on imports, not to generate, trade, or offset emissions through credits.</w:t>
            </w:r>
          </w:p>
        </w:tc>
      </w:tr>
      <w:tr w:rsidR="00D46B07" w:rsidRPr="00CF2E7C" w14:paraId="1693D826" w14:textId="5CCF4240"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6C0B9BF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92521">
              <w:rPr>
                <w:rFonts w:ascii="Calibri" w:eastAsia="Times New Roman" w:hAnsi="Calibri" w:cs="Calibri"/>
                <w:kern w:val="0"/>
                <w:lang w:val="en-US" w:eastAsia="en-GB"/>
                <w14:ligatures w14:val="none"/>
              </w:rPr>
              <w:t>X</w:t>
            </w:r>
          </w:p>
        </w:tc>
      </w:tr>
      <w:tr w:rsidR="00D46B07" w:rsidRPr="00CF2E7C" w14:paraId="4F1197A3" w14:textId="0E20C011"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146C779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92521">
              <w:rPr>
                <w:rFonts w:ascii="Calibri" w:eastAsia="Times New Roman" w:hAnsi="Calibri" w:cs="Calibri"/>
                <w:kern w:val="0"/>
                <w:lang w:val="en-US" w:eastAsia="en-GB"/>
                <w14:ligatures w14:val="none"/>
              </w:rPr>
              <w:t>X</w:t>
            </w:r>
          </w:p>
        </w:tc>
      </w:tr>
      <w:tr w:rsidR="00D46B07" w:rsidRPr="00CF2E7C" w14:paraId="42FAE5FA" w14:textId="10649653"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2035336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92521">
              <w:rPr>
                <w:rFonts w:ascii="Calibri" w:eastAsia="Times New Roman" w:hAnsi="Calibri" w:cs="Calibri"/>
                <w:kern w:val="0"/>
                <w:lang w:val="en-US" w:eastAsia="en-GB"/>
                <w14:ligatures w14:val="none"/>
              </w:rPr>
              <w:t>X</w:t>
            </w:r>
          </w:p>
        </w:tc>
      </w:tr>
      <w:tr w:rsidR="00D46B07" w:rsidRPr="00CF2E7C" w14:paraId="527B98EB" w14:textId="11468B6B"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3402A654" w:rsidR="00D46B07" w:rsidRPr="00CF2E7C" w:rsidRDefault="00E925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2B54E49A">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2B54E49A">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2B54E49A">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1E8E19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3EF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6B2B40D9" w:rsidR="00702413" w:rsidRPr="00CF2E7C" w:rsidRDefault="00AC24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58EA24B1"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50B7B63E" w:rsidR="00702413" w:rsidRPr="00CF2E7C" w:rsidRDefault="00AC24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7562E38B"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F8D18BD" w:rsidR="00702413" w:rsidRPr="00CF2E7C" w:rsidRDefault="00AC24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344AFEBE"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1EB723BD" w:rsidR="00702413" w:rsidRPr="00CF2E7C" w:rsidRDefault="00AC24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5269173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6ABC87E1" w:rsidR="00702413" w:rsidRPr="00CF2E7C" w:rsidRDefault="00AC24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39E1FBD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2B54E49A">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6B693D" w14:textId="54515DB4" w:rsidR="00025249" w:rsidRPr="00025249" w:rsidRDefault="172564A2" w:rsidP="00025249">
            <w:pPr>
              <w:textAlignment w:val="baseline"/>
              <w:rPr>
                <w:rFonts w:ascii="Calibri" w:eastAsia="Times New Roman" w:hAnsi="Calibri" w:cs="Calibri"/>
                <w:kern w:val="0"/>
                <w:lang w:eastAsia="en-GB"/>
                <w14:ligatures w14:val="none"/>
              </w:rPr>
            </w:pPr>
            <w:r w:rsidRPr="00025249">
              <w:rPr>
                <w:rFonts w:ascii="Calibri" w:eastAsia="Times New Roman" w:hAnsi="Calibri" w:cs="Calibri"/>
                <w:kern w:val="0"/>
                <w:lang w:eastAsia="en-GB"/>
                <w14:ligatures w14:val="none"/>
              </w:rPr>
              <w:t>CBAM requires the creation and use of a dedicated CBAM Registry, but this is not a carbon credit registry. The CBAM Registry is an EU-level digital system used to:</w:t>
            </w:r>
          </w:p>
          <w:p w14:paraId="28B14EAF" w14:textId="16256623" w:rsidR="00025249" w:rsidRPr="00025249" w:rsidRDefault="00025249" w:rsidP="00025249">
            <w:pPr>
              <w:numPr>
                <w:ilvl w:val="0"/>
                <w:numId w:val="54"/>
              </w:numPr>
              <w:textAlignment w:val="baseline"/>
              <w:rPr>
                <w:rFonts w:ascii="Calibri" w:eastAsia="Times New Roman" w:hAnsi="Calibri" w:cs="Calibri"/>
                <w:kern w:val="0"/>
                <w:lang w:eastAsia="en-GB"/>
                <w14:ligatures w14:val="none"/>
              </w:rPr>
            </w:pPr>
            <w:r w:rsidRPr="00025249">
              <w:rPr>
                <w:rFonts w:ascii="Calibri" w:eastAsia="Times New Roman" w:hAnsi="Calibri" w:cs="Calibri"/>
                <w:kern w:val="0"/>
                <w:lang w:eastAsia="en-GB"/>
                <w14:ligatures w14:val="none"/>
              </w:rPr>
              <w:t>Register authorised CBAM declarants</w:t>
            </w:r>
            <w:r>
              <w:rPr>
                <w:rFonts w:ascii="Calibri" w:eastAsia="Times New Roman" w:hAnsi="Calibri" w:cs="Calibri"/>
                <w:kern w:val="0"/>
                <w:lang w:eastAsia="en-GB"/>
                <w14:ligatures w14:val="none"/>
              </w:rPr>
              <w:t>;</w:t>
            </w:r>
          </w:p>
          <w:p w14:paraId="35245D6D" w14:textId="1778F395" w:rsidR="00025249" w:rsidRPr="00025249" w:rsidRDefault="00025249" w:rsidP="00025249">
            <w:pPr>
              <w:numPr>
                <w:ilvl w:val="0"/>
                <w:numId w:val="54"/>
              </w:numPr>
              <w:textAlignment w:val="baseline"/>
              <w:rPr>
                <w:rFonts w:ascii="Calibri" w:eastAsia="Times New Roman" w:hAnsi="Calibri" w:cs="Calibri"/>
                <w:kern w:val="0"/>
                <w:lang w:eastAsia="en-GB"/>
                <w14:ligatures w14:val="none"/>
              </w:rPr>
            </w:pPr>
            <w:r w:rsidRPr="00025249">
              <w:rPr>
                <w:rFonts w:ascii="Calibri" w:eastAsia="Times New Roman" w:hAnsi="Calibri" w:cs="Calibri"/>
                <w:kern w:val="0"/>
                <w:lang w:eastAsia="en-GB"/>
                <w14:ligatures w14:val="none"/>
              </w:rPr>
              <w:t>Record imported goods and associated embedded emissions</w:t>
            </w:r>
            <w:r>
              <w:rPr>
                <w:rFonts w:ascii="Calibri" w:eastAsia="Times New Roman" w:hAnsi="Calibri" w:cs="Calibri"/>
                <w:kern w:val="0"/>
                <w:lang w:eastAsia="en-GB"/>
                <w14:ligatures w14:val="none"/>
              </w:rPr>
              <w:t>;</w:t>
            </w:r>
          </w:p>
          <w:p w14:paraId="72514EF2" w14:textId="6616E5C0" w:rsidR="00025249" w:rsidRDefault="00025249" w:rsidP="00025249">
            <w:pPr>
              <w:numPr>
                <w:ilvl w:val="0"/>
                <w:numId w:val="54"/>
              </w:numPr>
              <w:textAlignment w:val="baseline"/>
              <w:rPr>
                <w:rFonts w:ascii="Calibri" w:eastAsia="Times New Roman" w:hAnsi="Calibri" w:cs="Calibri"/>
                <w:kern w:val="0"/>
                <w:lang w:eastAsia="en-GB"/>
                <w14:ligatures w14:val="none"/>
              </w:rPr>
            </w:pPr>
            <w:r w:rsidRPr="00025249">
              <w:rPr>
                <w:rFonts w:ascii="Calibri" w:eastAsia="Times New Roman" w:hAnsi="Calibri" w:cs="Calibri"/>
                <w:kern w:val="0"/>
                <w:lang w:eastAsia="en-GB"/>
                <w14:ligatures w14:val="none"/>
              </w:rPr>
              <w:t>Manage the purchase, holding, and surrender of CBAM certificate</w:t>
            </w:r>
            <w:r>
              <w:rPr>
                <w:rFonts w:ascii="Calibri" w:eastAsia="Times New Roman" w:hAnsi="Calibri" w:cs="Calibri"/>
                <w:kern w:val="0"/>
                <w:lang w:eastAsia="en-GB"/>
                <w14:ligatures w14:val="none"/>
              </w:rPr>
              <w:t>s.</w:t>
            </w:r>
          </w:p>
          <w:p w14:paraId="38C2165D" w14:textId="1EF7A95B" w:rsidR="00025249" w:rsidRPr="00025249" w:rsidRDefault="172564A2" w:rsidP="00025249">
            <w:pPr>
              <w:textAlignment w:val="baseline"/>
              <w:rPr>
                <w:rFonts w:ascii="Calibri" w:eastAsia="Times New Roman" w:hAnsi="Calibri" w:cs="Calibri"/>
                <w:kern w:val="0"/>
                <w:lang w:eastAsia="en-GB"/>
                <w14:ligatures w14:val="none"/>
              </w:rPr>
            </w:pPr>
            <w:r w:rsidRPr="00025249">
              <w:rPr>
                <w:rFonts w:ascii="Calibri" w:eastAsia="Times New Roman" w:hAnsi="Calibri" w:cs="Calibri"/>
                <w:kern w:val="0"/>
                <w:lang w:eastAsia="en-GB"/>
                <w14:ligatures w14:val="none"/>
              </w:rPr>
              <w:t>Legal basis: Article 14(1)</w:t>
            </w:r>
            <w:r w:rsidR="2DDF5479" w:rsidRPr="00025249">
              <w:rPr>
                <w:rFonts w:ascii="Calibri" w:eastAsia="Times New Roman" w:hAnsi="Calibri" w:cs="Calibri"/>
                <w:kern w:val="0"/>
                <w:lang w:eastAsia="en-GB"/>
                <w14:ligatures w14:val="none"/>
              </w:rPr>
              <w:t>.</w:t>
            </w:r>
          </w:p>
        </w:tc>
      </w:tr>
      <w:tr w:rsidR="00702413" w:rsidRPr="00CF2E7C" w14:paraId="3B5B3B9B"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1C8FD1F7" w:rsidR="00343937" w:rsidRPr="00CF2E7C" w:rsidRDefault="00D22C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6D6C06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77B60">
              <w:rPr>
                <w:rFonts w:ascii="Calibri" w:eastAsia="Times New Roman" w:hAnsi="Calibri" w:cs="Calibri"/>
                <w:kern w:val="0"/>
                <w:lang w:eastAsia="en-GB"/>
                <w14:ligatures w14:val="none"/>
              </w:rPr>
              <w:t>X</w:t>
            </w:r>
          </w:p>
        </w:tc>
      </w:tr>
      <w:tr w:rsidR="00343937" w:rsidRPr="00CF2E7C" w14:paraId="21833DEC"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279F424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77B60">
              <w:rPr>
                <w:rFonts w:ascii="Calibri" w:eastAsia="Times New Roman" w:hAnsi="Calibri" w:cs="Calibri"/>
                <w:kern w:val="0"/>
                <w:lang w:eastAsia="en-GB"/>
                <w14:ligatures w14:val="none"/>
              </w:rPr>
              <w:t>X</w:t>
            </w:r>
          </w:p>
        </w:tc>
      </w:tr>
      <w:tr w:rsidR="00343937" w:rsidRPr="00CF2E7C" w14:paraId="499FC60D"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23BD523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77B60">
              <w:rPr>
                <w:rFonts w:ascii="Calibri" w:eastAsia="Times New Roman" w:hAnsi="Calibri" w:cs="Calibri"/>
                <w:kern w:val="0"/>
                <w:lang w:eastAsia="en-GB"/>
                <w14:ligatures w14:val="none"/>
              </w:rPr>
              <w:t>X</w:t>
            </w:r>
          </w:p>
        </w:tc>
      </w:tr>
      <w:tr w:rsidR="00343937" w:rsidRPr="00CF2E7C" w14:paraId="63F85A8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3107CDF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77B60">
              <w:rPr>
                <w:rFonts w:ascii="Calibri" w:eastAsia="Times New Roman" w:hAnsi="Calibri" w:cs="Calibri"/>
                <w:kern w:val="0"/>
                <w:lang w:eastAsia="en-GB"/>
                <w14:ligatures w14:val="none"/>
              </w:rPr>
              <w:t>X</w:t>
            </w:r>
          </w:p>
        </w:tc>
      </w:tr>
      <w:tr w:rsidR="00343937" w:rsidRPr="00CF2E7C" w14:paraId="4D040023"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1375493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77B60">
              <w:rPr>
                <w:rFonts w:ascii="Calibri" w:eastAsia="Times New Roman" w:hAnsi="Calibri" w:cs="Calibri"/>
                <w:kern w:val="0"/>
                <w:lang w:eastAsia="en-GB"/>
                <w14:ligatures w14:val="none"/>
              </w:rPr>
              <w:t>X</w:t>
            </w:r>
          </w:p>
        </w:tc>
      </w:tr>
      <w:tr w:rsidR="00343937" w:rsidRPr="00CF2E7C" w14:paraId="0216DA9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158747B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77B60">
              <w:rPr>
                <w:rFonts w:ascii="Calibri" w:eastAsia="Times New Roman" w:hAnsi="Calibri" w:cs="Calibri"/>
                <w:kern w:val="0"/>
                <w:lang w:eastAsia="en-GB"/>
                <w14:ligatures w14:val="none"/>
              </w:rPr>
              <w:t>X</w:t>
            </w:r>
          </w:p>
        </w:tc>
      </w:tr>
      <w:tr w:rsidR="00343937" w:rsidRPr="00CF2E7C" w14:paraId="4B999C7C"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2B54E49A">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13ED5047" w:rsidR="00343937" w:rsidRPr="00CF2E7C" w:rsidRDefault="4B87D9BE" w:rsidP="00CF2E7C">
            <w:pPr>
              <w:textAlignment w:val="baseline"/>
              <w:rPr>
                <w:rFonts w:ascii="Calibri" w:eastAsia="Times New Roman" w:hAnsi="Calibri" w:cs="Calibri"/>
                <w:kern w:val="0"/>
                <w:lang w:eastAsia="en-GB"/>
                <w14:ligatures w14:val="none"/>
              </w:rPr>
            </w:pPr>
            <w:r w:rsidRPr="00C85D4C">
              <w:rPr>
                <w:rFonts w:ascii="Calibri" w:eastAsia="Times New Roman" w:hAnsi="Calibri" w:cs="Calibri"/>
                <w:kern w:val="0"/>
                <w:lang w:eastAsia="en-GB"/>
                <w14:ligatures w14:val="none"/>
              </w:rPr>
              <w:t>CBAM</w:t>
            </w:r>
            <w:r w:rsidR="7D010966" w:rsidRPr="00C85D4C">
              <w:rPr>
                <w:rFonts w:ascii="Calibri" w:eastAsia="Times New Roman" w:hAnsi="Calibri" w:cs="Calibri"/>
                <w:kern w:val="0"/>
                <w:lang w:eastAsia="en-GB"/>
                <w14:ligatures w14:val="none"/>
              </w:rPr>
              <w:t xml:space="preserve"> </w:t>
            </w:r>
            <w:r w:rsidRPr="00C85D4C">
              <w:rPr>
                <w:rFonts w:ascii="Calibri" w:eastAsia="Times New Roman" w:hAnsi="Calibri" w:cs="Calibri"/>
                <w:kern w:val="0"/>
                <w:lang w:eastAsia="en-GB"/>
                <w14:ligatures w14:val="none"/>
              </w:rPr>
              <w:t>does not regulate carbon credits, and accordingly, it does not address the use of revenues from the generation or trade of such credits.</w:t>
            </w:r>
          </w:p>
        </w:tc>
      </w:tr>
      <w:tr w:rsidR="00343937" w:rsidRPr="00CF2E7C" w14:paraId="081852CC"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10DC71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6DA8">
              <w:rPr>
                <w:rFonts w:ascii="Calibri" w:eastAsia="Times New Roman" w:hAnsi="Calibri" w:cs="Calibri"/>
                <w:kern w:val="0"/>
                <w:lang w:eastAsia="en-GB"/>
                <w14:ligatures w14:val="none"/>
              </w:rPr>
              <w:t>X</w:t>
            </w:r>
          </w:p>
        </w:tc>
      </w:tr>
      <w:tr w:rsidR="00343937" w:rsidRPr="00CF2E7C" w14:paraId="6C5BC40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409B25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6DA8">
              <w:rPr>
                <w:rFonts w:ascii="Calibri" w:eastAsia="Times New Roman" w:hAnsi="Calibri" w:cs="Calibri"/>
                <w:kern w:val="0"/>
                <w:lang w:eastAsia="en-GB"/>
                <w14:ligatures w14:val="none"/>
              </w:rPr>
              <w:t>X</w:t>
            </w:r>
          </w:p>
        </w:tc>
      </w:tr>
      <w:tr w:rsidR="00343937" w:rsidRPr="00CF2E7C" w14:paraId="51121032"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330C434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6DA8">
              <w:rPr>
                <w:rFonts w:ascii="Calibri" w:eastAsia="Times New Roman" w:hAnsi="Calibri" w:cs="Calibri"/>
                <w:kern w:val="0"/>
                <w:lang w:eastAsia="en-GB"/>
                <w14:ligatures w14:val="none"/>
              </w:rPr>
              <w:t>X</w:t>
            </w:r>
          </w:p>
        </w:tc>
      </w:tr>
      <w:tr w:rsidR="00343937" w:rsidRPr="00CF2E7C" w14:paraId="60DACB27"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87E865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6DA8">
              <w:rPr>
                <w:rFonts w:ascii="Calibri" w:eastAsia="Times New Roman" w:hAnsi="Calibri" w:cs="Calibri"/>
                <w:kern w:val="0"/>
                <w:lang w:eastAsia="en-GB"/>
                <w14:ligatures w14:val="none"/>
              </w:rPr>
              <w:t>X</w:t>
            </w:r>
          </w:p>
        </w:tc>
      </w:tr>
      <w:tr w:rsidR="00343937" w:rsidRPr="00CF2E7C" w14:paraId="13899E8A"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2B54E49A">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66317EE7" w:rsidR="00343937" w:rsidRPr="00CF2E7C" w:rsidRDefault="00C85D4C" w:rsidP="00CF2E7C">
            <w:pPr>
              <w:textAlignment w:val="baseline"/>
              <w:rPr>
                <w:rFonts w:ascii="Calibri" w:eastAsia="Times New Roman" w:hAnsi="Calibri" w:cs="Calibri"/>
                <w:kern w:val="0"/>
                <w:lang w:eastAsia="en-GB"/>
                <w14:ligatures w14:val="none"/>
              </w:rPr>
            </w:pPr>
            <w:r w:rsidRPr="00C85D4C">
              <w:rPr>
                <w:rFonts w:ascii="Calibri" w:eastAsia="Times New Roman" w:hAnsi="Calibri" w:cs="Calibri"/>
                <w:kern w:val="0"/>
                <w:lang w:eastAsia="en-GB"/>
                <w14:ligatures w14:val="none"/>
              </w:rPr>
              <w:t>CBAM does not regulate carbon credits, and accordingly, it does not address the use of revenues from the generation or trade of such credits.</w:t>
            </w:r>
          </w:p>
        </w:tc>
      </w:tr>
      <w:tr w:rsidR="00343937" w:rsidRPr="00CF2E7C" w14:paraId="146C8CB5"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061A58C4" w:rsidR="000A6F11" w:rsidRPr="00CF2E7C" w:rsidRDefault="00C85D4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2B54E49A">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2B54E49A">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bookmarkStart w:id="30" w:name="OpenAt"/>
            <w:bookmarkEnd w:id="30"/>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ADC676" w14:textId="77777777" w:rsidR="006D7D80" w:rsidRDefault="006D7D80" w:rsidP="00874E39">
      <w:r>
        <w:separator/>
      </w:r>
    </w:p>
  </w:endnote>
  <w:endnote w:type="continuationSeparator" w:id="0">
    <w:p w14:paraId="4B7DEA62" w14:textId="77777777" w:rsidR="006D7D80" w:rsidRDefault="006D7D80" w:rsidP="00874E39">
      <w:r>
        <w:continuationSeparator/>
      </w:r>
    </w:p>
  </w:endnote>
  <w:endnote w:type="continuationNotice" w:id="1">
    <w:p w14:paraId="5AEB2D0B" w14:textId="77777777" w:rsidR="006D7D80" w:rsidRDefault="006D7D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9B0409" w14:textId="77777777" w:rsidR="006D7D80" w:rsidRDefault="006D7D80" w:rsidP="00874E39">
      <w:r>
        <w:separator/>
      </w:r>
    </w:p>
  </w:footnote>
  <w:footnote w:type="continuationSeparator" w:id="0">
    <w:p w14:paraId="779521E8" w14:textId="77777777" w:rsidR="006D7D80" w:rsidRDefault="006D7D80" w:rsidP="00874E39">
      <w:r>
        <w:continuationSeparator/>
      </w:r>
    </w:p>
  </w:footnote>
  <w:footnote w:type="continuationNotice" w:id="1">
    <w:p w14:paraId="306FB380" w14:textId="77777777" w:rsidR="006D7D80" w:rsidRDefault="006D7D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16178D4"/>
    <w:multiLevelType w:val="multilevel"/>
    <w:tmpl w:val="5664D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8BD7951"/>
    <w:multiLevelType w:val="multilevel"/>
    <w:tmpl w:val="CD389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3AA06A4"/>
    <w:multiLevelType w:val="multilevel"/>
    <w:tmpl w:val="D44E5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A705ED9"/>
    <w:multiLevelType w:val="multilevel"/>
    <w:tmpl w:val="386284A0"/>
    <w:lvl w:ilvl="0">
      <w:start w:val="16"/>
      <w:numFmt w:val="bullet"/>
      <w:lvlText w:val="-"/>
      <w:lvlJc w:val="left"/>
      <w:pPr>
        <w:tabs>
          <w:tab w:val="num" w:pos="720"/>
        </w:tabs>
        <w:ind w:left="720" w:hanging="360"/>
      </w:pPr>
      <w:rPr>
        <w:rFonts w:ascii="Calibri" w:eastAsiaTheme="minorHAnsi" w:hAnsi="Calibri" w:cs="Calibri"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7B360EFD"/>
    <w:multiLevelType w:val="multilevel"/>
    <w:tmpl w:val="888AB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F1816CD"/>
    <w:multiLevelType w:val="multilevel"/>
    <w:tmpl w:val="386284A0"/>
    <w:lvl w:ilvl="0">
      <w:start w:val="16"/>
      <w:numFmt w:val="bullet"/>
      <w:lvlText w:val="-"/>
      <w:lvlJc w:val="left"/>
      <w:pPr>
        <w:tabs>
          <w:tab w:val="num" w:pos="720"/>
        </w:tabs>
        <w:ind w:left="720" w:hanging="360"/>
      </w:pPr>
      <w:rPr>
        <w:rFonts w:ascii="Calibri" w:eastAsiaTheme="minorHAnsi" w:hAnsi="Calibri" w:cs="Calibri"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1812476120">
    <w:abstractNumId w:val="7"/>
  </w:num>
  <w:num w:numId="50" w16cid:durableId="1831214755">
    <w:abstractNumId w:val="53"/>
  </w:num>
  <w:num w:numId="51" w16cid:durableId="1917548205">
    <w:abstractNumId w:val="51"/>
  </w:num>
  <w:num w:numId="52" w16cid:durableId="2141419031">
    <w:abstractNumId w:val="48"/>
  </w:num>
  <w:num w:numId="53" w16cid:durableId="185753593">
    <w:abstractNumId w:val="43"/>
  </w:num>
  <w:num w:numId="54" w16cid:durableId="1987737832">
    <w:abstractNumId w:val="5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249"/>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B16"/>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4AB"/>
    <w:rsid w:val="000779A3"/>
    <w:rsid w:val="0008098E"/>
    <w:rsid w:val="00080D39"/>
    <w:rsid w:val="00083507"/>
    <w:rsid w:val="000844F5"/>
    <w:rsid w:val="00084827"/>
    <w:rsid w:val="00084B66"/>
    <w:rsid w:val="0008541F"/>
    <w:rsid w:val="0008744D"/>
    <w:rsid w:val="00087549"/>
    <w:rsid w:val="000876C3"/>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ABB"/>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AAC"/>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3F8"/>
    <w:rsid w:val="00160486"/>
    <w:rsid w:val="001604B3"/>
    <w:rsid w:val="001608AD"/>
    <w:rsid w:val="00161D1B"/>
    <w:rsid w:val="00162CC0"/>
    <w:rsid w:val="00164519"/>
    <w:rsid w:val="00172B85"/>
    <w:rsid w:val="00173D7C"/>
    <w:rsid w:val="0017449C"/>
    <w:rsid w:val="001749C3"/>
    <w:rsid w:val="00176011"/>
    <w:rsid w:val="001764ED"/>
    <w:rsid w:val="00180289"/>
    <w:rsid w:val="00182288"/>
    <w:rsid w:val="00182646"/>
    <w:rsid w:val="00183170"/>
    <w:rsid w:val="00184609"/>
    <w:rsid w:val="00185C8C"/>
    <w:rsid w:val="001904E6"/>
    <w:rsid w:val="00191059"/>
    <w:rsid w:val="001919D8"/>
    <w:rsid w:val="00192EC4"/>
    <w:rsid w:val="0019340B"/>
    <w:rsid w:val="001935BF"/>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5B8"/>
    <w:rsid w:val="001C239C"/>
    <w:rsid w:val="001C3435"/>
    <w:rsid w:val="001C3966"/>
    <w:rsid w:val="001C4700"/>
    <w:rsid w:val="001C5A18"/>
    <w:rsid w:val="001C5C5D"/>
    <w:rsid w:val="001C614E"/>
    <w:rsid w:val="001C669F"/>
    <w:rsid w:val="001C764A"/>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33B"/>
    <w:rsid w:val="00203B08"/>
    <w:rsid w:val="002040F6"/>
    <w:rsid w:val="00204C4D"/>
    <w:rsid w:val="0020589D"/>
    <w:rsid w:val="00205D5A"/>
    <w:rsid w:val="002069B2"/>
    <w:rsid w:val="00206E20"/>
    <w:rsid w:val="00210CE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738"/>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E7E"/>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1B6"/>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13D"/>
    <w:rsid w:val="00385566"/>
    <w:rsid w:val="00386B53"/>
    <w:rsid w:val="0038785C"/>
    <w:rsid w:val="00387A1A"/>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EB6"/>
    <w:rsid w:val="003E7DD6"/>
    <w:rsid w:val="003F1282"/>
    <w:rsid w:val="003F1C8E"/>
    <w:rsid w:val="003F1E87"/>
    <w:rsid w:val="003F256E"/>
    <w:rsid w:val="003F2B00"/>
    <w:rsid w:val="003F2E77"/>
    <w:rsid w:val="003F338D"/>
    <w:rsid w:val="003F39C3"/>
    <w:rsid w:val="003F4908"/>
    <w:rsid w:val="003F5B6F"/>
    <w:rsid w:val="003F5FD9"/>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B60"/>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716"/>
    <w:rsid w:val="004B2D74"/>
    <w:rsid w:val="004B3C40"/>
    <w:rsid w:val="004B3D1A"/>
    <w:rsid w:val="004B4203"/>
    <w:rsid w:val="004B666D"/>
    <w:rsid w:val="004B739E"/>
    <w:rsid w:val="004B77AB"/>
    <w:rsid w:val="004C006D"/>
    <w:rsid w:val="004C20B7"/>
    <w:rsid w:val="004C2420"/>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A1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47E6C"/>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29D5"/>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9729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D80"/>
    <w:rsid w:val="006E114C"/>
    <w:rsid w:val="006E18FD"/>
    <w:rsid w:val="006E23C1"/>
    <w:rsid w:val="006E43A6"/>
    <w:rsid w:val="006E5C5F"/>
    <w:rsid w:val="006E5EE5"/>
    <w:rsid w:val="006E6B58"/>
    <w:rsid w:val="006E7195"/>
    <w:rsid w:val="006E7DC6"/>
    <w:rsid w:val="006E7F97"/>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D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A8"/>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636"/>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557"/>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C63"/>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3FB5"/>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0A35"/>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AF4"/>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1C9"/>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A78"/>
    <w:rsid w:val="00AB2CCC"/>
    <w:rsid w:val="00AB4F2C"/>
    <w:rsid w:val="00AB64F8"/>
    <w:rsid w:val="00AC241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78C"/>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EF6"/>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4C"/>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6F1"/>
    <w:rsid w:val="00CD6B26"/>
    <w:rsid w:val="00CD6DAC"/>
    <w:rsid w:val="00CE0CAF"/>
    <w:rsid w:val="00CE3A32"/>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C8B"/>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7DB"/>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F66"/>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521"/>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123"/>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257"/>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2C"/>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47B068"/>
    <w:rsid w:val="03D8A615"/>
    <w:rsid w:val="03E120AC"/>
    <w:rsid w:val="043B16D5"/>
    <w:rsid w:val="04546A8E"/>
    <w:rsid w:val="04931AA5"/>
    <w:rsid w:val="04BDA2DC"/>
    <w:rsid w:val="050BA7A1"/>
    <w:rsid w:val="055D3A24"/>
    <w:rsid w:val="05AD2A3D"/>
    <w:rsid w:val="05E4EB80"/>
    <w:rsid w:val="0600E94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4796B"/>
    <w:rsid w:val="10068807"/>
    <w:rsid w:val="10C284BA"/>
    <w:rsid w:val="10F00546"/>
    <w:rsid w:val="10F127CA"/>
    <w:rsid w:val="10FEF039"/>
    <w:rsid w:val="113AE435"/>
    <w:rsid w:val="115308ED"/>
    <w:rsid w:val="11533657"/>
    <w:rsid w:val="1157E2E1"/>
    <w:rsid w:val="11AF00BD"/>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DD73C7"/>
    <w:rsid w:val="14E8E8D8"/>
    <w:rsid w:val="14F28C41"/>
    <w:rsid w:val="14F9A8F2"/>
    <w:rsid w:val="15B652F7"/>
    <w:rsid w:val="164CC3D0"/>
    <w:rsid w:val="16BAB639"/>
    <w:rsid w:val="172564A2"/>
    <w:rsid w:val="172D3A52"/>
    <w:rsid w:val="176BF6B7"/>
    <w:rsid w:val="17830B56"/>
    <w:rsid w:val="18063CAC"/>
    <w:rsid w:val="184D85DA"/>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125A6A"/>
    <w:rsid w:val="226CFF44"/>
    <w:rsid w:val="22CAA1BE"/>
    <w:rsid w:val="22F5D270"/>
    <w:rsid w:val="22F75C2C"/>
    <w:rsid w:val="233A77AF"/>
    <w:rsid w:val="23B76162"/>
    <w:rsid w:val="23C0D58B"/>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D6BFB9"/>
    <w:rsid w:val="2AE12B46"/>
    <w:rsid w:val="2AFA85B6"/>
    <w:rsid w:val="2B54E49A"/>
    <w:rsid w:val="2B60652F"/>
    <w:rsid w:val="2BEFB30E"/>
    <w:rsid w:val="2BF3A920"/>
    <w:rsid w:val="2C1094A7"/>
    <w:rsid w:val="2C323816"/>
    <w:rsid w:val="2C41DCEA"/>
    <w:rsid w:val="2C427301"/>
    <w:rsid w:val="2C7261FA"/>
    <w:rsid w:val="2CA24D0C"/>
    <w:rsid w:val="2CBCEA80"/>
    <w:rsid w:val="2CC05F01"/>
    <w:rsid w:val="2CCC85E6"/>
    <w:rsid w:val="2CDA6B9F"/>
    <w:rsid w:val="2CEC310B"/>
    <w:rsid w:val="2CFA6DBB"/>
    <w:rsid w:val="2D22A1C8"/>
    <w:rsid w:val="2D42D415"/>
    <w:rsid w:val="2DA15703"/>
    <w:rsid w:val="2DC93DDE"/>
    <w:rsid w:val="2DDF5479"/>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69512"/>
    <w:rsid w:val="335AE262"/>
    <w:rsid w:val="335D8961"/>
    <w:rsid w:val="33822AF7"/>
    <w:rsid w:val="338D5E08"/>
    <w:rsid w:val="33C18E62"/>
    <w:rsid w:val="33CE951E"/>
    <w:rsid w:val="33D223DA"/>
    <w:rsid w:val="33F1549E"/>
    <w:rsid w:val="34169E89"/>
    <w:rsid w:val="345B6A42"/>
    <w:rsid w:val="34D9D894"/>
    <w:rsid w:val="34FE116B"/>
    <w:rsid w:val="3543FB64"/>
    <w:rsid w:val="358B4182"/>
    <w:rsid w:val="35F55AB0"/>
    <w:rsid w:val="363B9A27"/>
    <w:rsid w:val="366D57B2"/>
    <w:rsid w:val="3675C8BF"/>
    <w:rsid w:val="36ACEF8A"/>
    <w:rsid w:val="36DEE2B0"/>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897E03"/>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221851"/>
    <w:rsid w:val="4155B0B3"/>
    <w:rsid w:val="426215FF"/>
    <w:rsid w:val="427040DC"/>
    <w:rsid w:val="4281762D"/>
    <w:rsid w:val="42F121DF"/>
    <w:rsid w:val="4388ADA4"/>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A76943"/>
    <w:rsid w:val="48C54897"/>
    <w:rsid w:val="48C7EBE3"/>
    <w:rsid w:val="48E49A86"/>
    <w:rsid w:val="490E25D4"/>
    <w:rsid w:val="49442BB5"/>
    <w:rsid w:val="495A2E3A"/>
    <w:rsid w:val="49B7238B"/>
    <w:rsid w:val="49B977DD"/>
    <w:rsid w:val="49D91ECA"/>
    <w:rsid w:val="4A39A0B6"/>
    <w:rsid w:val="4A419F96"/>
    <w:rsid w:val="4A5D034F"/>
    <w:rsid w:val="4A649438"/>
    <w:rsid w:val="4A6A11D0"/>
    <w:rsid w:val="4A6D6D0F"/>
    <w:rsid w:val="4ABAB518"/>
    <w:rsid w:val="4AEF8438"/>
    <w:rsid w:val="4AF15A4B"/>
    <w:rsid w:val="4AF9B87E"/>
    <w:rsid w:val="4B3663ED"/>
    <w:rsid w:val="4B87D9BE"/>
    <w:rsid w:val="4BE2FD2B"/>
    <w:rsid w:val="4BF386BD"/>
    <w:rsid w:val="4C17576E"/>
    <w:rsid w:val="4C3236F5"/>
    <w:rsid w:val="4C815D0F"/>
    <w:rsid w:val="4D6CB5CF"/>
    <w:rsid w:val="4D760FA2"/>
    <w:rsid w:val="4DB37933"/>
    <w:rsid w:val="4E0874FD"/>
    <w:rsid w:val="4E1CB3EE"/>
    <w:rsid w:val="4E1D2C26"/>
    <w:rsid w:val="4EB5ADDD"/>
    <w:rsid w:val="4EF9338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294452"/>
    <w:rsid w:val="612DE299"/>
    <w:rsid w:val="61A942DB"/>
    <w:rsid w:val="62145993"/>
    <w:rsid w:val="623EEC54"/>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56415D"/>
    <w:rsid w:val="6D73AD7A"/>
    <w:rsid w:val="6D9F1740"/>
    <w:rsid w:val="6DB51A17"/>
    <w:rsid w:val="6DF67BBE"/>
    <w:rsid w:val="6E00BFA8"/>
    <w:rsid w:val="6E05B31C"/>
    <w:rsid w:val="6EBDAFD5"/>
    <w:rsid w:val="6F4875AE"/>
    <w:rsid w:val="6F60A3EB"/>
    <w:rsid w:val="6F6F38B2"/>
    <w:rsid w:val="6FDA1EF6"/>
    <w:rsid w:val="6FE99E2C"/>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010966"/>
    <w:rsid w:val="7D21AE94"/>
    <w:rsid w:val="7D521BC0"/>
    <w:rsid w:val="7DA020C5"/>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02524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634196">
      <w:bodyDiv w:val="1"/>
      <w:marLeft w:val="0"/>
      <w:marRight w:val="0"/>
      <w:marTop w:val="0"/>
      <w:marBottom w:val="0"/>
      <w:divBdr>
        <w:top w:val="none" w:sz="0" w:space="0" w:color="auto"/>
        <w:left w:val="none" w:sz="0" w:space="0" w:color="auto"/>
        <w:bottom w:val="none" w:sz="0" w:space="0" w:color="auto"/>
        <w:right w:val="none" w:sz="0" w:space="0" w:color="auto"/>
      </w:divBdr>
    </w:div>
    <w:div w:id="114452589">
      <w:bodyDiv w:val="1"/>
      <w:marLeft w:val="0"/>
      <w:marRight w:val="0"/>
      <w:marTop w:val="0"/>
      <w:marBottom w:val="0"/>
      <w:divBdr>
        <w:top w:val="none" w:sz="0" w:space="0" w:color="auto"/>
        <w:left w:val="none" w:sz="0" w:space="0" w:color="auto"/>
        <w:bottom w:val="none" w:sz="0" w:space="0" w:color="auto"/>
        <w:right w:val="none" w:sz="0" w:space="0" w:color="auto"/>
      </w:divBdr>
    </w:div>
    <w:div w:id="253443045">
      <w:bodyDiv w:val="1"/>
      <w:marLeft w:val="0"/>
      <w:marRight w:val="0"/>
      <w:marTop w:val="0"/>
      <w:marBottom w:val="0"/>
      <w:divBdr>
        <w:top w:val="none" w:sz="0" w:space="0" w:color="auto"/>
        <w:left w:val="none" w:sz="0" w:space="0" w:color="auto"/>
        <w:bottom w:val="none" w:sz="0" w:space="0" w:color="auto"/>
        <w:right w:val="none" w:sz="0" w:space="0" w:color="auto"/>
      </w:divBdr>
    </w:div>
    <w:div w:id="282226507">
      <w:bodyDiv w:val="1"/>
      <w:marLeft w:val="0"/>
      <w:marRight w:val="0"/>
      <w:marTop w:val="0"/>
      <w:marBottom w:val="0"/>
      <w:divBdr>
        <w:top w:val="none" w:sz="0" w:space="0" w:color="auto"/>
        <w:left w:val="none" w:sz="0" w:space="0" w:color="auto"/>
        <w:bottom w:val="none" w:sz="0" w:space="0" w:color="auto"/>
        <w:right w:val="none" w:sz="0" w:space="0" w:color="auto"/>
      </w:divBdr>
    </w:div>
    <w:div w:id="318385145">
      <w:bodyDiv w:val="1"/>
      <w:marLeft w:val="0"/>
      <w:marRight w:val="0"/>
      <w:marTop w:val="0"/>
      <w:marBottom w:val="0"/>
      <w:divBdr>
        <w:top w:val="none" w:sz="0" w:space="0" w:color="auto"/>
        <w:left w:val="none" w:sz="0" w:space="0" w:color="auto"/>
        <w:bottom w:val="none" w:sz="0" w:space="0" w:color="auto"/>
        <w:right w:val="none" w:sz="0" w:space="0" w:color="auto"/>
      </w:divBdr>
    </w:div>
    <w:div w:id="343098354">
      <w:bodyDiv w:val="1"/>
      <w:marLeft w:val="0"/>
      <w:marRight w:val="0"/>
      <w:marTop w:val="0"/>
      <w:marBottom w:val="0"/>
      <w:divBdr>
        <w:top w:val="none" w:sz="0" w:space="0" w:color="auto"/>
        <w:left w:val="none" w:sz="0" w:space="0" w:color="auto"/>
        <w:bottom w:val="none" w:sz="0" w:space="0" w:color="auto"/>
        <w:right w:val="none" w:sz="0" w:space="0" w:color="auto"/>
      </w:divBdr>
    </w:div>
    <w:div w:id="390691985">
      <w:bodyDiv w:val="1"/>
      <w:marLeft w:val="0"/>
      <w:marRight w:val="0"/>
      <w:marTop w:val="0"/>
      <w:marBottom w:val="0"/>
      <w:divBdr>
        <w:top w:val="none" w:sz="0" w:space="0" w:color="auto"/>
        <w:left w:val="none" w:sz="0" w:space="0" w:color="auto"/>
        <w:bottom w:val="none" w:sz="0" w:space="0" w:color="auto"/>
        <w:right w:val="none" w:sz="0" w:space="0" w:color="auto"/>
      </w:divBdr>
    </w:div>
    <w:div w:id="522405195">
      <w:bodyDiv w:val="1"/>
      <w:marLeft w:val="0"/>
      <w:marRight w:val="0"/>
      <w:marTop w:val="0"/>
      <w:marBottom w:val="0"/>
      <w:divBdr>
        <w:top w:val="none" w:sz="0" w:space="0" w:color="auto"/>
        <w:left w:val="none" w:sz="0" w:space="0" w:color="auto"/>
        <w:bottom w:val="none" w:sz="0" w:space="0" w:color="auto"/>
        <w:right w:val="none" w:sz="0" w:space="0" w:color="auto"/>
      </w:divBdr>
    </w:div>
    <w:div w:id="549267739">
      <w:bodyDiv w:val="1"/>
      <w:marLeft w:val="0"/>
      <w:marRight w:val="0"/>
      <w:marTop w:val="0"/>
      <w:marBottom w:val="0"/>
      <w:divBdr>
        <w:top w:val="none" w:sz="0" w:space="0" w:color="auto"/>
        <w:left w:val="none" w:sz="0" w:space="0" w:color="auto"/>
        <w:bottom w:val="none" w:sz="0" w:space="0" w:color="auto"/>
        <w:right w:val="none" w:sz="0" w:space="0" w:color="auto"/>
      </w:divBdr>
    </w:div>
    <w:div w:id="552154379">
      <w:bodyDiv w:val="1"/>
      <w:marLeft w:val="0"/>
      <w:marRight w:val="0"/>
      <w:marTop w:val="0"/>
      <w:marBottom w:val="0"/>
      <w:divBdr>
        <w:top w:val="none" w:sz="0" w:space="0" w:color="auto"/>
        <w:left w:val="none" w:sz="0" w:space="0" w:color="auto"/>
        <w:bottom w:val="none" w:sz="0" w:space="0" w:color="auto"/>
        <w:right w:val="none" w:sz="0" w:space="0" w:color="auto"/>
      </w:divBdr>
      <w:divsChild>
        <w:div w:id="43875037">
          <w:marLeft w:val="0"/>
          <w:marRight w:val="0"/>
          <w:marTop w:val="0"/>
          <w:marBottom w:val="0"/>
          <w:divBdr>
            <w:top w:val="none" w:sz="0" w:space="0" w:color="auto"/>
            <w:left w:val="none" w:sz="0" w:space="0" w:color="auto"/>
            <w:bottom w:val="none" w:sz="0" w:space="0" w:color="auto"/>
            <w:right w:val="none" w:sz="0" w:space="0" w:color="auto"/>
          </w:divBdr>
          <w:divsChild>
            <w:div w:id="145248121">
              <w:marLeft w:val="0"/>
              <w:marRight w:val="0"/>
              <w:marTop w:val="0"/>
              <w:marBottom w:val="0"/>
              <w:divBdr>
                <w:top w:val="none" w:sz="0" w:space="0" w:color="auto"/>
                <w:left w:val="none" w:sz="0" w:space="0" w:color="auto"/>
                <w:bottom w:val="none" w:sz="0" w:space="0" w:color="auto"/>
                <w:right w:val="none" w:sz="0" w:space="0" w:color="auto"/>
              </w:divBdr>
              <w:divsChild>
                <w:div w:id="1825659514">
                  <w:marLeft w:val="0"/>
                  <w:marRight w:val="0"/>
                  <w:marTop w:val="0"/>
                  <w:marBottom w:val="0"/>
                  <w:divBdr>
                    <w:top w:val="none" w:sz="0" w:space="0" w:color="auto"/>
                    <w:left w:val="none" w:sz="0" w:space="0" w:color="auto"/>
                    <w:bottom w:val="none" w:sz="0" w:space="0" w:color="auto"/>
                    <w:right w:val="none" w:sz="0" w:space="0" w:color="auto"/>
                  </w:divBdr>
                  <w:divsChild>
                    <w:div w:id="2050182492">
                      <w:marLeft w:val="0"/>
                      <w:marRight w:val="0"/>
                      <w:marTop w:val="0"/>
                      <w:marBottom w:val="0"/>
                      <w:divBdr>
                        <w:top w:val="none" w:sz="0" w:space="0" w:color="auto"/>
                        <w:left w:val="none" w:sz="0" w:space="0" w:color="auto"/>
                        <w:bottom w:val="none" w:sz="0" w:space="0" w:color="auto"/>
                        <w:right w:val="none" w:sz="0" w:space="0" w:color="auto"/>
                      </w:divBdr>
                      <w:divsChild>
                        <w:div w:id="1511095771">
                          <w:marLeft w:val="0"/>
                          <w:marRight w:val="0"/>
                          <w:marTop w:val="0"/>
                          <w:marBottom w:val="0"/>
                          <w:divBdr>
                            <w:top w:val="none" w:sz="0" w:space="0" w:color="auto"/>
                            <w:left w:val="none" w:sz="0" w:space="0" w:color="auto"/>
                            <w:bottom w:val="none" w:sz="0" w:space="0" w:color="auto"/>
                            <w:right w:val="none" w:sz="0" w:space="0" w:color="auto"/>
                          </w:divBdr>
                          <w:divsChild>
                            <w:div w:id="309096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698378">
                  <w:marLeft w:val="0"/>
                  <w:marRight w:val="0"/>
                  <w:marTop w:val="0"/>
                  <w:marBottom w:val="0"/>
                  <w:divBdr>
                    <w:top w:val="none" w:sz="0" w:space="0" w:color="auto"/>
                    <w:left w:val="none" w:sz="0" w:space="0" w:color="auto"/>
                    <w:bottom w:val="none" w:sz="0" w:space="0" w:color="auto"/>
                    <w:right w:val="none" w:sz="0" w:space="0" w:color="auto"/>
                  </w:divBdr>
                  <w:divsChild>
                    <w:div w:id="47194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261665">
      <w:bodyDiv w:val="1"/>
      <w:marLeft w:val="0"/>
      <w:marRight w:val="0"/>
      <w:marTop w:val="0"/>
      <w:marBottom w:val="0"/>
      <w:divBdr>
        <w:top w:val="none" w:sz="0" w:space="0" w:color="auto"/>
        <w:left w:val="none" w:sz="0" w:space="0" w:color="auto"/>
        <w:bottom w:val="none" w:sz="0" w:space="0" w:color="auto"/>
        <w:right w:val="none" w:sz="0" w:space="0" w:color="auto"/>
      </w:divBdr>
    </w:div>
    <w:div w:id="854198248">
      <w:bodyDiv w:val="1"/>
      <w:marLeft w:val="0"/>
      <w:marRight w:val="0"/>
      <w:marTop w:val="0"/>
      <w:marBottom w:val="0"/>
      <w:divBdr>
        <w:top w:val="none" w:sz="0" w:space="0" w:color="auto"/>
        <w:left w:val="none" w:sz="0" w:space="0" w:color="auto"/>
        <w:bottom w:val="none" w:sz="0" w:space="0" w:color="auto"/>
        <w:right w:val="none" w:sz="0" w:space="0" w:color="auto"/>
      </w:divBdr>
    </w:div>
    <w:div w:id="97552525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180936">
      <w:bodyDiv w:val="1"/>
      <w:marLeft w:val="0"/>
      <w:marRight w:val="0"/>
      <w:marTop w:val="0"/>
      <w:marBottom w:val="0"/>
      <w:divBdr>
        <w:top w:val="none" w:sz="0" w:space="0" w:color="auto"/>
        <w:left w:val="none" w:sz="0" w:space="0" w:color="auto"/>
        <w:bottom w:val="none" w:sz="0" w:space="0" w:color="auto"/>
        <w:right w:val="none" w:sz="0" w:space="0" w:color="auto"/>
      </w:divBdr>
    </w:div>
    <w:div w:id="1279679673">
      <w:bodyDiv w:val="1"/>
      <w:marLeft w:val="0"/>
      <w:marRight w:val="0"/>
      <w:marTop w:val="0"/>
      <w:marBottom w:val="0"/>
      <w:divBdr>
        <w:top w:val="none" w:sz="0" w:space="0" w:color="auto"/>
        <w:left w:val="none" w:sz="0" w:space="0" w:color="auto"/>
        <w:bottom w:val="none" w:sz="0" w:space="0" w:color="auto"/>
        <w:right w:val="none" w:sz="0" w:space="0" w:color="auto"/>
      </w:divBdr>
    </w:div>
    <w:div w:id="1343625955">
      <w:bodyDiv w:val="1"/>
      <w:marLeft w:val="0"/>
      <w:marRight w:val="0"/>
      <w:marTop w:val="0"/>
      <w:marBottom w:val="0"/>
      <w:divBdr>
        <w:top w:val="none" w:sz="0" w:space="0" w:color="auto"/>
        <w:left w:val="none" w:sz="0" w:space="0" w:color="auto"/>
        <w:bottom w:val="none" w:sz="0" w:space="0" w:color="auto"/>
        <w:right w:val="none" w:sz="0" w:space="0" w:color="auto"/>
      </w:divBdr>
    </w:div>
    <w:div w:id="1404183419">
      <w:bodyDiv w:val="1"/>
      <w:marLeft w:val="0"/>
      <w:marRight w:val="0"/>
      <w:marTop w:val="0"/>
      <w:marBottom w:val="0"/>
      <w:divBdr>
        <w:top w:val="none" w:sz="0" w:space="0" w:color="auto"/>
        <w:left w:val="none" w:sz="0" w:space="0" w:color="auto"/>
        <w:bottom w:val="none" w:sz="0" w:space="0" w:color="auto"/>
        <w:right w:val="none" w:sz="0" w:space="0" w:color="auto"/>
      </w:divBdr>
    </w:div>
    <w:div w:id="1411610620">
      <w:bodyDiv w:val="1"/>
      <w:marLeft w:val="0"/>
      <w:marRight w:val="0"/>
      <w:marTop w:val="0"/>
      <w:marBottom w:val="0"/>
      <w:divBdr>
        <w:top w:val="none" w:sz="0" w:space="0" w:color="auto"/>
        <w:left w:val="none" w:sz="0" w:space="0" w:color="auto"/>
        <w:bottom w:val="none" w:sz="0" w:space="0" w:color="auto"/>
        <w:right w:val="none" w:sz="0" w:space="0" w:color="auto"/>
      </w:divBdr>
    </w:div>
    <w:div w:id="1474328256">
      <w:bodyDiv w:val="1"/>
      <w:marLeft w:val="0"/>
      <w:marRight w:val="0"/>
      <w:marTop w:val="0"/>
      <w:marBottom w:val="0"/>
      <w:divBdr>
        <w:top w:val="none" w:sz="0" w:space="0" w:color="auto"/>
        <w:left w:val="none" w:sz="0" w:space="0" w:color="auto"/>
        <w:bottom w:val="none" w:sz="0" w:space="0" w:color="auto"/>
        <w:right w:val="none" w:sz="0" w:space="0" w:color="auto"/>
      </w:divBdr>
    </w:div>
    <w:div w:id="1558860512">
      <w:bodyDiv w:val="1"/>
      <w:marLeft w:val="0"/>
      <w:marRight w:val="0"/>
      <w:marTop w:val="0"/>
      <w:marBottom w:val="0"/>
      <w:divBdr>
        <w:top w:val="none" w:sz="0" w:space="0" w:color="auto"/>
        <w:left w:val="none" w:sz="0" w:space="0" w:color="auto"/>
        <w:bottom w:val="none" w:sz="0" w:space="0" w:color="auto"/>
        <w:right w:val="none" w:sz="0" w:space="0" w:color="auto"/>
      </w:divBdr>
    </w:div>
    <w:div w:id="1580410373">
      <w:bodyDiv w:val="1"/>
      <w:marLeft w:val="0"/>
      <w:marRight w:val="0"/>
      <w:marTop w:val="0"/>
      <w:marBottom w:val="0"/>
      <w:divBdr>
        <w:top w:val="none" w:sz="0" w:space="0" w:color="auto"/>
        <w:left w:val="none" w:sz="0" w:space="0" w:color="auto"/>
        <w:bottom w:val="none" w:sz="0" w:space="0" w:color="auto"/>
        <w:right w:val="none" w:sz="0" w:space="0" w:color="auto"/>
      </w:divBdr>
    </w:div>
    <w:div w:id="161154769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40789799">
      <w:bodyDiv w:val="1"/>
      <w:marLeft w:val="0"/>
      <w:marRight w:val="0"/>
      <w:marTop w:val="0"/>
      <w:marBottom w:val="0"/>
      <w:divBdr>
        <w:top w:val="none" w:sz="0" w:space="0" w:color="auto"/>
        <w:left w:val="none" w:sz="0" w:space="0" w:color="auto"/>
        <w:bottom w:val="none" w:sz="0" w:space="0" w:color="auto"/>
        <w:right w:val="none" w:sz="0" w:space="0" w:color="auto"/>
      </w:divBdr>
      <w:divsChild>
        <w:div w:id="1143086645">
          <w:marLeft w:val="0"/>
          <w:marRight w:val="0"/>
          <w:marTop w:val="0"/>
          <w:marBottom w:val="0"/>
          <w:divBdr>
            <w:top w:val="none" w:sz="0" w:space="0" w:color="auto"/>
            <w:left w:val="none" w:sz="0" w:space="0" w:color="auto"/>
            <w:bottom w:val="none" w:sz="0" w:space="0" w:color="auto"/>
            <w:right w:val="none" w:sz="0" w:space="0" w:color="auto"/>
          </w:divBdr>
          <w:divsChild>
            <w:div w:id="1460414869">
              <w:marLeft w:val="0"/>
              <w:marRight w:val="0"/>
              <w:marTop w:val="0"/>
              <w:marBottom w:val="0"/>
              <w:divBdr>
                <w:top w:val="none" w:sz="0" w:space="0" w:color="auto"/>
                <w:left w:val="none" w:sz="0" w:space="0" w:color="auto"/>
                <w:bottom w:val="none" w:sz="0" w:space="0" w:color="auto"/>
                <w:right w:val="none" w:sz="0" w:space="0" w:color="auto"/>
              </w:divBdr>
              <w:divsChild>
                <w:div w:id="446123488">
                  <w:marLeft w:val="0"/>
                  <w:marRight w:val="0"/>
                  <w:marTop w:val="0"/>
                  <w:marBottom w:val="0"/>
                  <w:divBdr>
                    <w:top w:val="none" w:sz="0" w:space="0" w:color="auto"/>
                    <w:left w:val="none" w:sz="0" w:space="0" w:color="auto"/>
                    <w:bottom w:val="none" w:sz="0" w:space="0" w:color="auto"/>
                    <w:right w:val="none" w:sz="0" w:space="0" w:color="auto"/>
                  </w:divBdr>
                  <w:divsChild>
                    <w:div w:id="1774087667">
                      <w:marLeft w:val="0"/>
                      <w:marRight w:val="0"/>
                      <w:marTop w:val="0"/>
                      <w:marBottom w:val="0"/>
                      <w:divBdr>
                        <w:top w:val="none" w:sz="0" w:space="0" w:color="auto"/>
                        <w:left w:val="none" w:sz="0" w:space="0" w:color="auto"/>
                        <w:bottom w:val="none" w:sz="0" w:space="0" w:color="auto"/>
                        <w:right w:val="none" w:sz="0" w:space="0" w:color="auto"/>
                      </w:divBdr>
                      <w:divsChild>
                        <w:div w:id="1633559681">
                          <w:marLeft w:val="0"/>
                          <w:marRight w:val="0"/>
                          <w:marTop w:val="0"/>
                          <w:marBottom w:val="0"/>
                          <w:divBdr>
                            <w:top w:val="none" w:sz="0" w:space="0" w:color="auto"/>
                            <w:left w:val="none" w:sz="0" w:space="0" w:color="auto"/>
                            <w:bottom w:val="none" w:sz="0" w:space="0" w:color="auto"/>
                            <w:right w:val="none" w:sz="0" w:space="0" w:color="auto"/>
                          </w:divBdr>
                          <w:divsChild>
                            <w:div w:id="10188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7611">
                  <w:marLeft w:val="0"/>
                  <w:marRight w:val="0"/>
                  <w:marTop w:val="0"/>
                  <w:marBottom w:val="0"/>
                  <w:divBdr>
                    <w:top w:val="none" w:sz="0" w:space="0" w:color="auto"/>
                    <w:left w:val="none" w:sz="0" w:space="0" w:color="auto"/>
                    <w:bottom w:val="none" w:sz="0" w:space="0" w:color="auto"/>
                    <w:right w:val="none" w:sz="0" w:space="0" w:color="auto"/>
                  </w:divBdr>
                  <w:divsChild>
                    <w:div w:id="75813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9848813">
      <w:bodyDiv w:val="1"/>
      <w:marLeft w:val="0"/>
      <w:marRight w:val="0"/>
      <w:marTop w:val="0"/>
      <w:marBottom w:val="0"/>
      <w:divBdr>
        <w:top w:val="none" w:sz="0" w:space="0" w:color="auto"/>
        <w:left w:val="none" w:sz="0" w:space="0" w:color="auto"/>
        <w:bottom w:val="none" w:sz="0" w:space="0" w:color="auto"/>
        <w:right w:val="none" w:sz="0" w:space="0" w:color="auto"/>
      </w:divBdr>
    </w:div>
    <w:div w:id="205542031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192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164000/https://eur-lex.europa.eu/eli/reg/2023/956/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elements/1.1/"/>
    <ds:schemaRef ds:uri="http://schemas.microsoft.com/office/2006/metadata/properties"/>
    <ds:schemaRef ds:uri="f3ae4679-24f8-43cb-880e-0de6e561589c"/>
    <ds:schemaRef ds:uri="http://schemas.microsoft.com/office/2006/documentManagement/types"/>
    <ds:schemaRef ds:uri="http://purl.org/dc/terms/"/>
    <ds:schemaRef ds:uri="http://schemas.openxmlformats.org/package/2006/metadata/core-properties"/>
    <ds:schemaRef ds:uri="http://purl.org/dc/dcmitype/"/>
    <ds:schemaRef ds:uri="a84edb6d-cf86-4b2b-8a62-38e962ed6fbe"/>
    <ds:schemaRef ds:uri="http://schemas.microsoft.com/office/infopath/2007/PartnerControl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23446</Words>
  <Characters>133645</Characters>
  <Application>Microsoft Office Word</Application>
  <DocSecurity>0</DocSecurity>
  <Lines>1113</Lines>
  <Paragraphs>313</Paragraphs>
  <ScaleCrop>false</ScaleCrop>
  <Company/>
  <LinksUpToDate>false</LinksUpToDate>
  <CharactersWithSpaces>156778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46</cp:revision>
  <cp:lastPrinted>2025-03-21T00:14:00Z</cp:lastPrinted>
  <dcterms:created xsi:type="dcterms:W3CDTF">2025-06-19T12:24:00Z</dcterms:created>
  <dcterms:modified xsi:type="dcterms:W3CDTF">2025-07-30T09:31:00Z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